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30"/>
        <w:gridCol w:w="1400"/>
        <w:gridCol w:w="4693"/>
        <w:gridCol w:w="2673"/>
      </w:tblGrid>
      <w:tr w:rsidR="00210D70" w14:paraId="50CFB108" w14:textId="77777777" w:rsidTr="00F1538C">
        <w:tc>
          <w:tcPr>
            <w:tcW w:w="7523" w:type="dxa"/>
            <w:gridSpan w:val="3"/>
          </w:tcPr>
          <w:p w14:paraId="332703D0" w14:textId="6A9E5984" w:rsidR="00E84FEA" w:rsidRDefault="00E84FEA" w:rsidP="00E84FEA">
            <w:pPr>
              <w:rPr>
                <w:rFonts w:ascii="Calibri" w:hAnsi="Calibri" w:cs="Calibri"/>
                <w:b/>
                <w:bCs/>
                <w:sz w:val="28"/>
                <w:szCs w:val="28"/>
              </w:rPr>
            </w:pPr>
            <w:r w:rsidRPr="00E84FEA">
              <w:rPr>
                <w:rFonts w:ascii="Calibri" w:hAnsi="Calibri" w:cs="Calibri"/>
                <w:b/>
                <w:bCs/>
                <w:sz w:val="28"/>
                <w:szCs w:val="28"/>
              </w:rPr>
              <w:t xml:space="preserve">Bramley </w:t>
            </w:r>
            <w:r w:rsidR="005F1C4A">
              <w:rPr>
                <w:rFonts w:ascii="Calibri" w:hAnsi="Calibri" w:cs="Calibri"/>
                <w:b/>
                <w:bCs/>
                <w:sz w:val="28"/>
                <w:szCs w:val="28"/>
              </w:rPr>
              <w:t xml:space="preserve">- </w:t>
            </w:r>
            <w:r w:rsidRPr="00E84FEA">
              <w:rPr>
                <w:rFonts w:ascii="Calibri" w:hAnsi="Calibri" w:cs="Calibri"/>
                <w:b/>
                <w:bCs/>
                <w:sz w:val="28"/>
                <w:szCs w:val="28"/>
              </w:rPr>
              <w:t>Update</w:t>
            </w:r>
            <w:r w:rsidR="002D5283">
              <w:rPr>
                <w:rFonts w:ascii="Calibri" w:hAnsi="Calibri" w:cs="Calibri"/>
                <w:b/>
                <w:bCs/>
                <w:sz w:val="28"/>
                <w:szCs w:val="28"/>
              </w:rPr>
              <w:t xml:space="preserve"> on </w:t>
            </w:r>
            <w:r w:rsidR="005F1C4A">
              <w:rPr>
                <w:rFonts w:ascii="Calibri" w:hAnsi="Calibri" w:cs="Calibri"/>
                <w:b/>
                <w:bCs/>
                <w:sz w:val="28"/>
                <w:szCs w:val="28"/>
              </w:rPr>
              <w:t xml:space="preserve">Investigations and Remedial </w:t>
            </w:r>
            <w:r w:rsidR="002D5283">
              <w:rPr>
                <w:rFonts w:ascii="Calibri" w:hAnsi="Calibri" w:cs="Calibri"/>
                <w:b/>
                <w:bCs/>
                <w:sz w:val="28"/>
                <w:szCs w:val="28"/>
              </w:rPr>
              <w:t>Actions</w:t>
            </w:r>
            <w:r w:rsidR="005F1C4A">
              <w:rPr>
                <w:rFonts w:ascii="Calibri" w:hAnsi="Calibri" w:cs="Calibri"/>
                <w:b/>
                <w:bCs/>
                <w:sz w:val="28"/>
                <w:szCs w:val="28"/>
              </w:rPr>
              <w:t xml:space="preserve"> </w:t>
            </w:r>
          </w:p>
          <w:p w14:paraId="4A6E0FF8" w14:textId="76B14079" w:rsidR="00E84FEA" w:rsidRDefault="005F1C4A" w:rsidP="00E84FEA">
            <w:pPr>
              <w:rPr>
                <w:rFonts w:ascii="Calibri" w:hAnsi="Calibri" w:cs="Calibri"/>
                <w:b/>
                <w:bCs/>
                <w:sz w:val="20"/>
                <w:szCs w:val="20"/>
              </w:rPr>
            </w:pPr>
            <w:r>
              <w:rPr>
                <w:rFonts w:ascii="Calibri" w:hAnsi="Calibri" w:cs="Calibri"/>
                <w:b/>
                <w:bCs/>
                <w:sz w:val="20"/>
                <w:szCs w:val="20"/>
              </w:rPr>
              <w:t>A</w:t>
            </w:r>
            <w:r w:rsidR="002D5283" w:rsidRPr="00230218">
              <w:rPr>
                <w:rFonts w:ascii="Calibri" w:hAnsi="Calibri" w:cs="Calibri"/>
                <w:b/>
                <w:bCs/>
                <w:sz w:val="20"/>
                <w:szCs w:val="20"/>
              </w:rPr>
              <w:t xml:space="preserve"> </w:t>
            </w:r>
            <w:r>
              <w:rPr>
                <w:rFonts w:ascii="Calibri" w:hAnsi="Calibri" w:cs="Calibri"/>
                <w:b/>
                <w:bCs/>
                <w:sz w:val="20"/>
                <w:szCs w:val="20"/>
              </w:rPr>
              <w:t xml:space="preserve">Technical </w:t>
            </w:r>
            <w:r w:rsidR="002D5283" w:rsidRPr="00230218">
              <w:rPr>
                <w:rFonts w:ascii="Calibri" w:hAnsi="Calibri" w:cs="Calibri"/>
                <w:b/>
                <w:bCs/>
                <w:sz w:val="20"/>
                <w:szCs w:val="20"/>
              </w:rPr>
              <w:t>W</w:t>
            </w:r>
            <w:r>
              <w:rPr>
                <w:rFonts w:ascii="Calibri" w:hAnsi="Calibri" w:cs="Calibri"/>
                <w:b/>
                <w:bCs/>
                <w:sz w:val="20"/>
                <w:szCs w:val="20"/>
              </w:rPr>
              <w:t>orking Group mo</w:t>
            </w:r>
            <w:r w:rsidR="00230218" w:rsidRPr="00230218">
              <w:rPr>
                <w:rFonts w:ascii="Calibri" w:hAnsi="Calibri" w:cs="Calibri"/>
                <w:b/>
                <w:bCs/>
                <w:sz w:val="20"/>
                <w:szCs w:val="20"/>
              </w:rPr>
              <w:t xml:space="preserve">nitors </w:t>
            </w:r>
            <w:r w:rsidR="00475188" w:rsidRPr="00230218">
              <w:rPr>
                <w:rFonts w:ascii="Calibri" w:hAnsi="Calibri" w:cs="Calibri"/>
                <w:b/>
                <w:bCs/>
                <w:sz w:val="20"/>
                <w:szCs w:val="20"/>
              </w:rPr>
              <w:t>progress and</w:t>
            </w:r>
            <w:r w:rsidR="00230218" w:rsidRPr="00230218">
              <w:rPr>
                <w:rFonts w:ascii="Calibri" w:hAnsi="Calibri" w:cs="Calibri"/>
                <w:b/>
                <w:bCs/>
                <w:sz w:val="20"/>
                <w:szCs w:val="20"/>
              </w:rPr>
              <w:t xml:space="preserve"> provides a forum for utilities and consultants to work together, with input from regulators, on the remediation/control of contamination</w:t>
            </w:r>
            <w:r w:rsidR="00475188">
              <w:rPr>
                <w:rFonts w:ascii="Calibri" w:hAnsi="Calibri" w:cs="Calibri"/>
                <w:b/>
                <w:bCs/>
                <w:sz w:val="20"/>
                <w:szCs w:val="20"/>
              </w:rPr>
              <w:t xml:space="preserve">. Please see </w:t>
            </w:r>
            <w:hyperlink r:id="rId11" w:history="1">
              <w:r w:rsidR="00475188" w:rsidRPr="001B7099">
                <w:rPr>
                  <w:rStyle w:val="Hyperlink"/>
                  <w:rFonts w:ascii="Calibri" w:hAnsi="Calibri" w:cs="Calibri"/>
                  <w:b/>
                  <w:bCs/>
                  <w:sz w:val="20"/>
                  <w:szCs w:val="20"/>
                </w:rPr>
                <w:t>roadmaps</w:t>
              </w:r>
            </w:hyperlink>
            <w:r w:rsidR="00475188">
              <w:rPr>
                <w:rFonts w:ascii="Calibri" w:hAnsi="Calibri" w:cs="Calibri"/>
                <w:b/>
                <w:bCs/>
                <w:sz w:val="20"/>
                <w:szCs w:val="20"/>
              </w:rPr>
              <w:t xml:space="preserve"> agreed w</w:t>
            </w:r>
            <w:r w:rsidR="00475188" w:rsidRPr="00475188">
              <w:rPr>
                <w:rFonts w:ascii="Calibri" w:hAnsi="Calibri" w:cs="Calibri"/>
                <w:b/>
                <w:bCs/>
                <w:sz w:val="20"/>
                <w:szCs w:val="20"/>
              </w:rPr>
              <w:t>ith EPS, Openreach and Thames Water</w:t>
            </w:r>
          </w:p>
          <w:p w14:paraId="4AEA95D0" w14:textId="4AA03144" w:rsidR="001B7099" w:rsidRPr="00475188" w:rsidRDefault="001B7099" w:rsidP="00E84FEA">
            <w:pPr>
              <w:rPr>
                <w:rFonts w:ascii="Calibri" w:hAnsi="Calibri" w:cs="Calibri"/>
                <w:b/>
                <w:bCs/>
                <w:sz w:val="20"/>
                <w:szCs w:val="20"/>
              </w:rPr>
            </w:pPr>
          </w:p>
        </w:tc>
        <w:tc>
          <w:tcPr>
            <w:tcW w:w="2673" w:type="dxa"/>
          </w:tcPr>
          <w:p w14:paraId="56A52165" w14:textId="77777777" w:rsidR="00230218" w:rsidRDefault="00E84FEA" w:rsidP="001943DA">
            <w:pPr>
              <w:rPr>
                <w:rFonts w:ascii="Calibri" w:hAnsi="Calibri" w:cs="Calibri"/>
                <w:b/>
                <w:bCs/>
                <w:sz w:val="28"/>
                <w:szCs w:val="28"/>
              </w:rPr>
            </w:pPr>
            <w:r w:rsidRPr="00E84FEA">
              <w:rPr>
                <w:rFonts w:ascii="Calibri" w:hAnsi="Calibri" w:cs="Calibri"/>
                <w:b/>
                <w:bCs/>
                <w:sz w:val="28"/>
                <w:szCs w:val="28"/>
              </w:rPr>
              <w:t>Date</w:t>
            </w:r>
          </w:p>
          <w:p w14:paraId="2C1F88CB" w14:textId="05D1FCF4" w:rsidR="00DC419E" w:rsidRPr="00DC419E" w:rsidRDefault="00DC419E" w:rsidP="001943DA">
            <w:pPr>
              <w:rPr>
                <w:rFonts w:ascii="Calibri" w:hAnsi="Calibri" w:cs="Calibri"/>
                <w:sz w:val="28"/>
                <w:szCs w:val="28"/>
              </w:rPr>
            </w:pPr>
            <w:r w:rsidRPr="00DC419E">
              <w:rPr>
                <w:rFonts w:ascii="Calibri" w:hAnsi="Calibri" w:cs="Calibri"/>
                <w:sz w:val="28"/>
                <w:szCs w:val="28"/>
              </w:rPr>
              <w:t>18/12/2024</w:t>
            </w:r>
          </w:p>
        </w:tc>
      </w:tr>
      <w:tr w:rsidR="00210D70" w14:paraId="5C3138DB" w14:textId="77777777" w:rsidTr="005D0BD5">
        <w:trPr>
          <w:trHeight w:val="875"/>
        </w:trPr>
        <w:tc>
          <w:tcPr>
            <w:tcW w:w="1430" w:type="dxa"/>
            <w:vMerge w:val="restart"/>
            <w:vAlign w:val="center"/>
          </w:tcPr>
          <w:p w14:paraId="6AB4A434" w14:textId="4F8033C9" w:rsidR="00F1538C" w:rsidRPr="00230218" w:rsidRDefault="00F1538C" w:rsidP="00F1538C">
            <w:pPr>
              <w:rPr>
                <w:rFonts w:ascii="Calibri" w:hAnsi="Calibri" w:cs="Calibri"/>
                <w:b/>
                <w:bCs/>
              </w:rPr>
            </w:pPr>
            <w:r w:rsidRPr="00230218">
              <w:rPr>
                <w:rFonts w:ascii="Calibri" w:hAnsi="Calibri" w:cs="Calibri"/>
                <w:b/>
                <w:bCs/>
              </w:rPr>
              <w:t xml:space="preserve">From Openreach and their consultants, OHES </w:t>
            </w:r>
          </w:p>
          <w:p w14:paraId="4AC75F37" w14:textId="1755EE65" w:rsidR="00F1538C" w:rsidRPr="00E84FEA" w:rsidRDefault="00F1538C" w:rsidP="00F1538C"/>
        </w:tc>
        <w:tc>
          <w:tcPr>
            <w:tcW w:w="1400" w:type="dxa"/>
          </w:tcPr>
          <w:p w14:paraId="1CF298E3" w14:textId="282258E1" w:rsidR="00F1538C" w:rsidRDefault="006D31CE" w:rsidP="00F1538C">
            <w:pPr>
              <w:rPr>
                <w:rFonts w:ascii="Calibri" w:hAnsi="Calibri" w:cs="Calibri"/>
                <w:b/>
                <w:bCs/>
                <w:sz w:val="20"/>
                <w:szCs w:val="20"/>
              </w:rPr>
            </w:pPr>
            <w:r>
              <w:rPr>
                <w:rFonts w:ascii="Calibri" w:hAnsi="Calibri" w:cs="Calibri"/>
                <w:b/>
                <w:bCs/>
                <w:sz w:val="20"/>
                <w:szCs w:val="20"/>
              </w:rPr>
              <w:t>Progress on the p</w:t>
            </w:r>
            <w:r w:rsidR="00F1538C" w:rsidRPr="00230218">
              <w:rPr>
                <w:rFonts w:ascii="Calibri" w:hAnsi="Calibri" w:cs="Calibri"/>
                <w:b/>
                <w:bCs/>
                <w:sz w:val="20"/>
                <w:szCs w:val="20"/>
              </w:rPr>
              <w:t>rovision of alternative Comm</w:t>
            </w:r>
            <w:r w:rsidR="00F1538C">
              <w:rPr>
                <w:rFonts w:ascii="Calibri" w:hAnsi="Calibri" w:cs="Calibri"/>
                <w:b/>
                <w:bCs/>
                <w:sz w:val="20"/>
                <w:szCs w:val="20"/>
              </w:rPr>
              <w:t>s and repair of assets</w:t>
            </w:r>
          </w:p>
          <w:p w14:paraId="50DB3495" w14:textId="1F4F9072" w:rsidR="00F1538C" w:rsidRPr="00230218" w:rsidRDefault="00F1538C" w:rsidP="00F1538C">
            <w:pPr>
              <w:rPr>
                <w:rFonts w:ascii="Calibri" w:hAnsi="Calibri" w:cs="Calibri"/>
                <w:b/>
                <w:bCs/>
              </w:rPr>
            </w:pPr>
          </w:p>
        </w:tc>
        <w:tc>
          <w:tcPr>
            <w:tcW w:w="7366" w:type="dxa"/>
            <w:gridSpan w:val="2"/>
          </w:tcPr>
          <w:p w14:paraId="1874C689" w14:textId="14174E10" w:rsidR="00F1538C" w:rsidRDefault="00BF38AA" w:rsidP="001943DA">
            <w:pPr>
              <w:rPr>
                <w:rFonts w:ascii="Calibri" w:hAnsi="Calibri" w:cs="Calibri"/>
                <w:sz w:val="20"/>
                <w:szCs w:val="20"/>
              </w:rPr>
            </w:pPr>
            <w:r>
              <w:rPr>
                <w:rFonts w:ascii="Calibri" w:hAnsi="Calibri" w:cs="Calibri"/>
                <w:sz w:val="20"/>
                <w:szCs w:val="20"/>
              </w:rPr>
              <w:t xml:space="preserve">Our network remains </w:t>
            </w:r>
            <w:r w:rsidR="006639D7">
              <w:rPr>
                <w:rFonts w:ascii="Calibri" w:hAnsi="Calibri" w:cs="Calibri"/>
                <w:sz w:val="20"/>
                <w:szCs w:val="20"/>
              </w:rPr>
              <w:t>inaccessible,</w:t>
            </w:r>
            <w:r w:rsidR="00456C43">
              <w:rPr>
                <w:rFonts w:ascii="Calibri" w:hAnsi="Calibri" w:cs="Calibri"/>
                <w:sz w:val="20"/>
                <w:szCs w:val="20"/>
              </w:rPr>
              <w:t xml:space="preserve"> and we continue to monitor the changing landscape that we are working within.  </w:t>
            </w:r>
            <w:r w:rsidR="00FC11A6">
              <w:rPr>
                <w:rFonts w:ascii="Calibri" w:hAnsi="Calibri" w:cs="Calibri"/>
                <w:sz w:val="20"/>
                <w:szCs w:val="20"/>
              </w:rPr>
              <w:t xml:space="preserve">We continue to assess the exclusion zone and its size, </w:t>
            </w:r>
            <w:r w:rsidR="00426232">
              <w:rPr>
                <w:rFonts w:ascii="Calibri" w:hAnsi="Calibri" w:cs="Calibri"/>
                <w:sz w:val="20"/>
                <w:szCs w:val="20"/>
              </w:rPr>
              <w:t>as well as further control measures that can be applied.</w:t>
            </w:r>
          </w:p>
          <w:p w14:paraId="33BCA636" w14:textId="77777777" w:rsidR="003056DD" w:rsidRDefault="003056DD" w:rsidP="001943DA">
            <w:pPr>
              <w:rPr>
                <w:rFonts w:ascii="Calibri" w:hAnsi="Calibri" w:cs="Calibri"/>
                <w:sz w:val="20"/>
                <w:szCs w:val="20"/>
              </w:rPr>
            </w:pPr>
          </w:p>
          <w:p w14:paraId="2E823846" w14:textId="6E9DD87A" w:rsidR="00456C43" w:rsidRDefault="003056DD" w:rsidP="001943DA">
            <w:pPr>
              <w:rPr>
                <w:rFonts w:ascii="Calibri" w:hAnsi="Calibri" w:cs="Calibri"/>
                <w:sz w:val="20"/>
                <w:szCs w:val="20"/>
              </w:rPr>
            </w:pPr>
            <w:r w:rsidRPr="003056DD">
              <w:rPr>
                <w:rFonts w:ascii="Calibri" w:hAnsi="Calibri" w:cs="Calibri"/>
                <w:sz w:val="20"/>
                <w:szCs w:val="20"/>
              </w:rPr>
              <w:t>There are currently 23</w:t>
            </w:r>
            <w:r>
              <w:rPr>
                <w:rFonts w:ascii="Calibri" w:hAnsi="Calibri" w:cs="Calibri"/>
                <w:sz w:val="20"/>
                <w:szCs w:val="20"/>
              </w:rPr>
              <w:t>4</w:t>
            </w:r>
            <w:r w:rsidRPr="003056DD">
              <w:rPr>
                <w:rFonts w:ascii="Calibri" w:hAnsi="Calibri" w:cs="Calibri"/>
                <w:sz w:val="20"/>
                <w:szCs w:val="20"/>
              </w:rPr>
              <w:t xml:space="preserve"> impacted end users, this will show as slow speeds or intermittent service. All the impacted customers have been assessed by their CP’s and either have a dongle/alternative service or have been confirmed as service ok and no further action taken. This figure does fluctuate, we continue to assess and act, it’s a very fluid situation.</w:t>
            </w:r>
          </w:p>
          <w:p w14:paraId="4CE46069" w14:textId="77777777" w:rsidR="003056DD" w:rsidRDefault="003056DD" w:rsidP="001943DA">
            <w:pPr>
              <w:rPr>
                <w:rFonts w:ascii="Calibri" w:hAnsi="Calibri" w:cs="Calibri"/>
                <w:sz w:val="20"/>
                <w:szCs w:val="20"/>
              </w:rPr>
            </w:pPr>
          </w:p>
          <w:p w14:paraId="097936AA" w14:textId="242D3F54" w:rsidR="00456C43" w:rsidRDefault="00456C43" w:rsidP="001943DA">
            <w:pPr>
              <w:rPr>
                <w:rFonts w:ascii="Calibri" w:hAnsi="Calibri" w:cs="Calibri"/>
                <w:sz w:val="20"/>
                <w:szCs w:val="20"/>
              </w:rPr>
            </w:pPr>
            <w:r>
              <w:rPr>
                <w:rFonts w:ascii="Calibri" w:hAnsi="Calibri" w:cs="Calibri"/>
                <w:sz w:val="20"/>
                <w:szCs w:val="20"/>
              </w:rPr>
              <w:t xml:space="preserve">We continue to prioritise welfare and vulnerable customers throughout this period. </w:t>
            </w:r>
            <w:r w:rsidR="006639D7">
              <w:rPr>
                <w:rFonts w:ascii="Calibri" w:hAnsi="Calibri" w:cs="Calibri"/>
                <w:sz w:val="20"/>
                <w:szCs w:val="20"/>
              </w:rPr>
              <w:t>And t</w:t>
            </w:r>
            <w:r>
              <w:rPr>
                <w:rFonts w:ascii="Calibri" w:hAnsi="Calibri" w:cs="Calibri"/>
                <w:sz w:val="20"/>
                <w:szCs w:val="20"/>
              </w:rPr>
              <w:t xml:space="preserve">he emergency mast remains in the car park of Bramley Telephone Exchange, the primary purpose is to </w:t>
            </w:r>
            <w:r w:rsidR="003C573A">
              <w:rPr>
                <w:rFonts w:ascii="Calibri" w:hAnsi="Calibri" w:cs="Calibri"/>
                <w:sz w:val="20"/>
                <w:szCs w:val="20"/>
              </w:rPr>
              <w:t xml:space="preserve">ensure that everyone, regardless of mobile operator, maintains the ability to dial 999. </w:t>
            </w:r>
          </w:p>
          <w:p w14:paraId="5473ED1C" w14:textId="77777777" w:rsidR="00012ABF" w:rsidRDefault="00012ABF" w:rsidP="001943DA">
            <w:pPr>
              <w:rPr>
                <w:rFonts w:ascii="Calibri" w:hAnsi="Calibri" w:cs="Calibri"/>
                <w:sz w:val="20"/>
                <w:szCs w:val="20"/>
              </w:rPr>
            </w:pPr>
          </w:p>
          <w:p w14:paraId="2F46FE4C" w14:textId="4913584B" w:rsidR="00012ABF" w:rsidRDefault="00426232" w:rsidP="001943DA">
            <w:pPr>
              <w:rPr>
                <w:rFonts w:ascii="Calibri" w:hAnsi="Calibri" w:cs="Calibri"/>
                <w:sz w:val="20"/>
                <w:szCs w:val="20"/>
              </w:rPr>
            </w:pPr>
            <w:r>
              <w:rPr>
                <w:rFonts w:ascii="Calibri" w:hAnsi="Calibri" w:cs="Calibri"/>
                <w:sz w:val="20"/>
                <w:szCs w:val="20"/>
              </w:rPr>
              <w:t>We have progressed and cleared over two thirds</w:t>
            </w:r>
            <w:r w:rsidR="00564DAA">
              <w:rPr>
                <w:rFonts w:ascii="Calibri" w:hAnsi="Calibri" w:cs="Calibri"/>
                <w:sz w:val="20"/>
                <w:szCs w:val="20"/>
              </w:rPr>
              <w:t xml:space="preserve"> of faults in the area and have also completed over 200 provisions during this tim</w:t>
            </w:r>
            <w:r w:rsidR="00BF2166">
              <w:rPr>
                <w:rFonts w:ascii="Calibri" w:hAnsi="Calibri" w:cs="Calibri"/>
                <w:sz w:val="20"/>
                <w:szCs w:val="20"/>
              </w:rPr>
              <w:t xml:space="preserve">e. </w:t>
            </w:r>
          </w:p>
          <w:p w14:paraId="56CFCBC0" w14:textId="77777777" w:rsidR="00BF2166" w:rsidRDefault="00BF2166" w:rsidP="001943DA">
            <w:pPr>
              <w:rPr>
                <w:rFonts w:ascii="Calibri" w:hAnsi="Calibri" w:cs="Calibri"/>
                <w:sz w:val="20"/>
                <w:szCs w:val="20"/>
              </w:rPr>
            </w:pPr>
          </w:p>
          <w:p w14:paraId="2D579EBD" w14:textId="5EF3D903" w:rsidR="00BF2166" w:rsidRDefault="008565D0" w:rsidP="001943DA">
            <w:pPr>
              <w:rPr>
                <w:rFonts w:ascii="Calibri" w:hAnsi="Calibri" w:cs="Calibri"/>
                <w:sz w:val="20"/>
                <w:szCs w:val="20"/>
              </w:rPr>
            </w:pPr>
            <w:r>
              <w:rPr>
                <w:rFonts w:ascii="Calibri" w:hAnsi="Calibri" w:cs="Calibri"/>
                <w:sz w:val="20"/>
                <w:szCs w:val="20"/>
              </w:rPr>
              <w:t>Star links are deployed in 3 locations in the village,</w:t>
            </w:r>
            <w:r w:rsidR="00A125A9">
              <w:rPr>
                <w:rFonts w:ascii="Calibri" w:hAnsi="Calibri" w:cs="Calibri"/>
                <w:sz w:val="20"/>
                <w:szCs w:val="20"/>
              </w:rPr>
              <w:t xml:space="preserve"> The Parish Hall, The </w:t>
            </w:r>
            <w:r w:rsidR="006D6806">
              <w:rPr>
                <w:rFonts w:ascii="Calibri" w:hAnsi="Calibri" w:cs="Calibri"/>
                <w:sz w:val="20"/>
                <w:szCs w:val="20"/>
              </w:rPr>
              <w:t>N</w:t>
            </w:r>
            <w:r w:rsidR="00A125A9">
              <w:rPr>
                <w:rFonts w:ascii="Calibri" w:hAnsi="Calibri" w:cs="Calibri"/>
                <w:sz w:val="20"/>
                <w:szCs w:val="20"/>
              </w:rPr>
              <w:t>est Coffee Shop and The Wheatsheaf pub,</w:t>
            </w:r>
            <w:r>
              <w:rPr>
                <w:rFonts w:ascii="Calibri" w:hAnsi="Calibri" w:cs="Calibri"/>
                <w:sz w:val="20"/>
                <w:szCs w:val="20"/>
              </w:rPr>
              <w:t xml:space="preserve"> a 4</w:t>
            </w:r>
            <w:r w:rsidRPr="008565D0">
              <w:rPr>
                <w:rFonts w:ascii="Calibri" w:hAnsi="Calibri" w:cs="Calibri"/>
                <w:sz w:val="20"/>
                <w:szCs w:val="20"/>
                <w:vertAlign w:val="superscript"/>
              </w:rPr>
              <w:t>th</w:t>
            </w:r>
            <w:r>
              <w:rPr>
                <w:rFonts w:ascii="Calibri" w:hAnsi="Calibri" w:cs="Calibri"/>
                <w:sz w:val="20"/>
                <w:szCs w:val="20"/>
              </w:rPr>
              <w:t xml:space="preserve"> will be rolled out in the new year. </w:t>
            </w:r>
          </w:p>
          <w:p w14:paraId="7CFE6EC1" w14:textId="77777777" w:rsidR="00C4146D" w:rsidRDefault="00C4146D" w:rsidP="001943DA">
            <w:pPr>
              <w:rPr>
                <w:rFonts w:ascii="Calibri" w:hAnsi="Calibri" w:cs="Calibri"/>
                <w:sz w:val="20"/>
                <w:szCs w:val="20"/>
              </w:rPr>
            </w:pPr>
          </w:p>
          <w:p w14:paraId="3F2AF10A" w14:textId="2A93F3DF" w:rsidR="00C4146D" w:rsidRDefault="00C4146D" w:rsidP="001943DA">
            <w:pPr>
              <w:rPr>
                <w:rFonts w:ascii="Calibri" w:hAnsi="Calibri" w:cs="Calibri"/>
                <w:sz w:val="20"/>
                <w:szCs w:val="20"/>
              </w:rPr>
            </w:pPr>
            <w:r>
              <w:rPr>
                <w:rFonts w:ascii="Calibri" w:hAnsi="Calibri" w:cs="Calibri"/>
                <w:sz w:val="20"/>
                <w:szCs w:val="20"/>
              </w:rPr>
              <w:t xml:space="preserve">In </w:t>
            </w:r>
            <w:r w:rsidR="001A612E">
              <w:rPr>
                <w:rFonts w:ascii="Calibri" w:hAnsi="Calibri" w:cs="Calibri"/>
                <w:sz w:val="20"/>
                <w:szCs w:val="20"/>
              </w:rPr>
              <w:t>the new year</w:t>
            </w:r>
            <w:r>
              <w:rPr>
                <w:rFonts w:ascii="Calibri" w:hAnsi="Calibri" w:cs="Calibri"/>
                <w:sz w:val="20"/>
                <w:szCs w:val="20"/>
              </w:rPr>
              <w:t>, with new control measures being applied, we are hopeful that we will be able to access the network to carry out priority repairs</w:t>
            </w:r>
            <w:r w:rsidR="00EA138A">
              <w:rPr>
                <w:rFonts w:ascii="Calibri" w:hAnsi="Calibri" w:cs="Calibri"/>
                <w:sz w:val="20"/>
                <w:szCs w:val="20"/>
              </w:rPr>
              <w:t>.</w:t>
            </w:r>
          </w:p>
          <w:p w14:paraId="5D9C9C9E" w14:textId="26FC4806" w:rsidR="003C573A" w:rsidRPr="00BF38AA" w:rsidRDefault="003C573A" w:rsidP="001943DA">
            <w:pPr>
              <w:rPr>
                <w:rFonts w:ascii="Calibri" w:hAnsi="Calibri" w:cs="Calibri"/>
                <w:sz w:val="20"/>
                <w:szCs w:val="20"/>
              </w:rPr>
            </w:pPr>
          </w:p>
        </w:tc>
      </w:tr>
      <w:tr w:rsidR="00210D70" w14:paraId="638AD77B" w14:textId="77777777" w:rsidTr="005D0BD5">
        <w:trPr>
          <w:trHeight w:val="551"/>
        </w:trPr>
        <w:tc>
          <w:tcPr>
            <w:tcW w:w="1430" w:type="dxa"/>
            <w:vMerge/>
          </w:tcPr>
          <w:p w14:paraId="77D8AC1D" w14:textId="77777777" w:rsidR="00230218" w:rsidRDefault="00230218" w:rsidP="001943DA"/>
        </w:tc>
        <w:tc>
          <w:tcPr>
            <w:tcW w:w="1400" w:type="dxa"/>
          </w:tcPr>
          <w:p w14:paraId="5CCA8051" w14:textId="77777777" w:rsidR="00230218" w:rsidRDefault="006D31CE" w:rsidP="001943DA">
            <w:pPr>
              <w:rPr>
                <w:rFonts w:ascii="Calibri" w:hAnsi="Calibri" w:cs="Calibri"/>
                <w:b/>
                <w:bCs/>
                <w:sz w:val="20"/>
                <w:szCs w:val="20"/>
              </w:rPr>
            </w:pPr>
            <w:r>
              <w:rPr>
                <w:rFonts w:ascii="Calibri" w:hAnsi="Calibri" w:cs="Calibri"/>
                <w:b/>
                <w:bCs/>
                <w:sz w:val="20"/>
                <w:szCs w:val="20"/>
              </w:rPr>
              <w:t>Progress on in</w:t>
            </w:r>
            <w:r w:rsidR="00230218" w:rsidRPr="00230218">
              <w:rPr>
                <w:rFonts w:ascii="Calibri" w:hAnsi="Calibri" w:cs="Calibri"/>
                <w:b/>
                <w:bCs/>
                <w:sz w:val="20"/>
                <w:szCs w:val="20"/>
              </w:rPr>
              <w:t>vestigations and actions</w:t>
            </w:r>
            <w:r w:rsidR="00F1538C">
              <w:rPr>
                <w:rFonts w:ascii="Calibri" w:hAnsi="Calibri" w:cs="Calibri"/>
                <w:b/>
                <w:bCs/>
                <w:sz w:val="20"/>
                <w:szCs w:val="20"/>
              </w:rPr>
              <w:t xml:space="preserve"> to enable repair of assets </w:t>
            </w:r>
          </w:p>
          <w:p w14:paraId="2BBA5BBE" w14:textId="3CD07E26" w:rsidR="006D31CE" w:rsidRPr="00230218" w:rsidRDefault="006D31CE" w:rsidP="001943DA">
            <w:pPr>
              <w:rPr>
                <w:rFonts w:ascii="Calibri" w:hAnsi="Calibri" w:cs="Calibri"/>
                <w:b/>
                <w:bCs/>
                <w:sz w:val="20"/>
                <w:szCs w:val="20"/>
              </w:rPr>
            </w:pPr>
          </w:p>
        </w:tc>
        <w:tc>
          <w:tcPr>
            <w:tcW w:w="7366" w:type="dxa"/>
            <w:gridSpan w:val="2"/>
          </w:tcPr>
          <w:p w14:paraId="732D4BC0" w14:textId="46864700" w:rsidR="005C0920" w:rsidRPr="005C0920" w:rsidRDefault="005C0920" w:rsidP="005C0920">
            <w:pPr>
              <w:rPr>
                <w:rFonts w:ascii="Calibri" w:hAnsi="Calibri" w:cs="Calibri"/>
                <w:sz w:val="20"/>
                <w:szCs w:val="20"/>
              </w:rPr>
            </w:pPr>
            <w:r w:rsidRPr="005C0920">
              <w:rPr>
                <w:rFonts w:ascii="Calibri" w:hAnsi="Calibri" w:cs="Calibri"/>
                <w:sz w:val="20"/>
                <w:szCs w:val="20"/>
              </w:rPr>
              <w:t>OHES continue to monitor vapour levels across the network to assess safe and stable conditions for access. Since the previous update, OHES and Openreach have been working closely with SGN and Thames Water to address their respective losses of gas and water, which are entering the network and further hindering access. Thames Water successfully repaired the water leak on 12th December 2024, and OHES is now reviewing changes to vapour levels as water levels continue to decrease. Collaborative efforts with SGN are ongoing to stop methane from entering the network.</w:t>
            </w:r>
          </w:p>
          <w:p w14:paraId="2BBFF55E" w14:textId="77777777" w:rsidR="005C0920" w:rsidRPr="005C0920" w:rsidRDefault="005C0920" w:rsidP="005C0920">
            <w:pPr>
              <w:rPr>
                <w:rFonts w:ascii="Calibri" w:hAnsi="Calibri" w:cs="Calibri"/>
                <w:sz w:val="20"/>
                <w:szCs w:val="20"/>
              </w:rPr>
            </w:pPr>
          </w:p>
          <w:p w14:paraId="7E34F149" w14:textId="77777777" w:rsidR="005C0920" w:rsidRPr="005C0920" w:rsidRDefault="005C0920" w:rsidP="005C0920">
            <w:pPr>
              <w:rPr>
                <w:rFonts w:ascii="Calibri" w:hAnsi="Calibri" w:cs="Calibri"/>
                <w:sz w:val="20"/>
                <w:szCs w:val="20"/>
              </w:rPr>
            </w:pPr>
            <w:r w:rsidRPr="005C0920">
              <w:rPr>
                <w:rFonts w:ascii="Calibri" w:hAnsi="Calibri" w:cs="Calibri"/>
                <w:sz w:val="20"/>
                <w:szCs w:val="20"/>
              </w:rPr>
              <w:t>The VEU unit is currently paused, and the site compound has been reduced in size to provide the residents of Bramley with better access along the High Street. OHES will continue to monitor vapour levels into the New Year, and if vapour levels rise, the VEU unit can be reactivated at short notice to reduce vapours within the network.</w:t>
            </w:r>
          </w:p>
          <w:p w14:paraId="50196B10" w14:textId="77777777" w:rsidR="005C0920" w:rsidRPr="005C0920" w:rsidRDefault="005C0920" w:rsidP="005C0920">
            <w:pPr>
              <w:rPr>
                <w:rFonts w:ascii="Calibri" w:hAnsi="Calibri" w:cs="Calibri"/>
                <w:sz w:val="20"/>
                <w:szCs w:val="20"/>
              </w:rPr>
            </w:pPr>
          </w:p>
          <w:p w14:paraId="7A2D343A" w14:textId="285EA417" w:rsidR="005C0920" w:rsidRPr="005C0920" w:rsidRDefault="005C0920" w:rsidP="005C0920">
            <w:pPr>
              <w:rPr>
                <w:rFonts w:ascii="Calibri" w:hAnsi="Calibri" w:cs="Calibri"/>
                <w:sz w:val="20"/>
                <w:szCs w:val="20"/>
              </w:rPr>
            </w:pPr>
            <w:r w:rsidRPr="005C0920">
              <w:rPr>
                <w:rFonts w:ascii="Calibri" w:hAnsi="Calibri" w:cs="Calibri"/>
                <w:sz w:val="20"/>
                <w:szCs w:val="20"/>
              </w:rPr>
              <w:t xml:space="preserve">Further flushing and cleaning of cables and chambers around Bramley High Street have been carried out and are planned to continue into early 2025 to address residual impacts within the network. </w:t>
            </w:r>
          </w:p>
          <w:p w14:paraId="33399918" w14:textId="77777777" w:rsidR="005C0920" w:rsidRPr="005C0920" w:rsidRDefault="005C0920" w:rsidP="005C0920">
            <w:pPr>
              <w:rPr>
                <w:rFonts w:ascii="Calibri" w:hAnsi="Calibri" w:cs="Calibri"/>
                <w:sz w:val="20"/>
                <w:szCs w:val="20"/>
              </w:rPr>
            </w:pPr>
          </w:p>
          <w:p w14:paraId="3513C6E3" w14:textId="033CBD91" w:rsidR="00D9020F" w:rsidRDefault="005C0920" w:rsidP="005C0920">
            <w:pPr>
              <w:rPr>
                <w:rFonts w:ascii="Calibri" w:hAnsi="Calibri" w:cs="Calibri"/>
                <w:sz w:val="20"/>
                <w:szCs w:val="20"/>
              </w:rPr>
            </w:pPr>
            <w:r w:rsidRPr="005C0920">
              <w:rPr>
                <w:rFonts w:ascii="Calibri" w:hAnsi="Calibri" w:cs="Calibri"/>
                <w:sz w:val="20"/>
                <w:szCs w:val="20"/>
              </w:rPr>
              <w:t>Looking ahead to 2025, OHES and Openreach are collaborating on mitigation measures to reduce the risk of vapour infiltration into the E-side</w:t>
            </w:r>
            <w:r w:rsidR="006C10E7">
              <w:rPr>
                <w:rFonts w:ascii="Calibri" w:hAnsi="Calibri" w:cs="Calibri"/>
                <w:sz w:val="20"/>
                <w:szCs w:val="20"/>
              </w:rPr>
              <w:t xml:space="preserve"> (Cables coming from the exchange)</w:t>
            </w:r>
            <w:r w:rsidRPr="005C0920">
              <w:rPr>
                <w:rFonts w:ascii="Calibri" w:hAnsi="Calibri" w:cs="Calibri"/>
                <w:sz w:val="20"/>
                <w:szCs w:val="20"/>
              </w:rPr>
              <w:t xml:space="preserve"> cables. Once these risks are mitigated, the initial steps to repair the network can commence.</w:t>
            </w:r>
          </w:p>
          <w:p w14:paraId="4E4FB977" w14:textId="4D6B62CE" w:rsidR="00230218" w:rsidRPr="006D6806" w:rsidRDefault="00230218" w:rsidP="001943DA">
            <w:pPr>
              <w:rPr>
                <w:rFonts w:ascii="Calibri" w:hAnsi="Calibri" w:cs="Calibri"/>
                <w:b/>
                <w:bCs/>
                <w:sz w:val="20"/>
                <w:szCs w:val="20"/>
              </w:rPr>
            </w:pPr>
          </w:p>
        </w:tc>
      </w:tr>
      <w:tr w:rsidR="00666362" w14:paraId="21CD6300" w14:textId="77777777" w:rsidTr="005D0BD5">
        <w:trPr>
          <w:trHeight w:val="490"/>
        </w:trPr>
        <w:tc>
          <w:tcPr>
            <w:tcW w:w="1430" w:type="dxa"/>
            <w:vMerge w:val="restart"/>
            <w:vAlign w:val="center"/>
          </w:tcPr>
          <w:p w14:paraId="6AD59B55" w14:textId="77777777" w:rsidR="00666362" w:rsidRDefault="00666362" w:rsidP="00666362">
            <w:pPr>
              <w:rPr>
                <w:rFonts w:ascii="Calibri" w:hAnsi="Calibri" w:cs="Calibri"/>
                <w:b/>
                <w:bCs/>
              </w:rPr>
            </w:pPr>
            <w:r w:rsidRPr="00230218">
              <w:rPr>
                <w:rFonts w:ascii="Calibri" w:hAnsi="Calibri" w:cs="Calibri"/>
                <w:b/>
                <w:bCs/>
              </w:rPr>
              <w:t>From Asda and their consultants</w:t>
            </w:r>
            <w:r>
              <w:rPr>
                <w:rFonts w:ascii="Calibri" w:hAnsi="Calibri" w:cs="Calibri"/>
                <w:b/>
                <w:bCs/>
              </w:rPr>
              <w:t>,</w:t>
            </w:r>
          </w:p>
          <w:p w14:paraId="552CB5C0" w14:textId="1BF39631" w:rsidR="00666362" w:rsidRPr="00230218" w:rsidRDefault="00666362" w:rsidP="00666362">
            <w:pPr>
              <w:rPr>
                <w:rFonts w:ascii="Calibri" w:hAnsi="Calibri" w:cs="Calibri"/>
                <w:b/>
                <w:bCs/>
              </w:rPr>
            </w:pPr>
            <w:r w:rsidRPr="00230218">
              <w:rPr>
                <w:rFonts w:ascii="Calibri" w:hAnsi="Calibri" w:cs="Calibri"/>
                <w:b/>
                <w:bCs/>
              </w:rPr>
              <w:t>EPS</w:t>
            </w:r>
          </w:p>
          <w:p w14:paraId="675F1321" w14:textId="07197FC2" w:rsidR="00666362" w:rsidRPr="00230218" w:rsidRDefault="00666362" w:rsidP="00666362">
            <w:pPr>
              <w:rPr>
                <w:rFonts w:ascii="Calibri" w:hAnsi="Calibri" w:cs="Calibri"/>
                <w:b/>
                <w:bCs/>
              </w:rPr>
            </w:pPr>
          </w:p>
        </w:tc>
        <w:tc>
          <w:tcPr>
            <w:tcW w:w="1400" w:type="dxa"/>
          </w:tcPr>
          <w:p w14:paraId="314FE290" w14:textId="03AA42C5" w:rsidR="00666362" w:rsidRDefault="00666362" w:rsidP="00666362">
            <w:pPr>
              <w:rPr>
                <w:rFonts w:ascii="Calibri" w:hAnsi="Calibri" w:cs="Calibri"/>
                <w:b/>
                <w:bCs/>
                <w:sz w:val="20"/>
                <w:szCs w:val="20"/>
              </w:rPr>
            </w:pPr>
            <w:r>
              <w:rPr>
                <w:rFonts w:ascii="Calibri" w:hAnsi="Calibri" w:cs="Calibri"/>
                <w:b/>
                <w:bCs/>
                <w:sz w:val="20"/>
                <w:szCs w:val="20"/>
              </w:rPr>
              <w:t>Progress on investigations and actions re remediation on site</w:t>
            </w:r>
          </w:p>
          <w:p w14:paraId="3BB9719D" w14:textId="0FD8472B" w:rsidR="00666362" w:rsidRPr="006D31CE" w:rsidRDefault="00666362" w:rsidP="00666362">
            <w:pPr>
              <w:rPr>
                <w:rFonts w:ascii="Calibri" w:hAnsi="Calibri" w:cs="Calibri"/>
                <w:b/>
                <w:bCs/>
                <w:sz w:val="20"/>
                <w:szCs w:val="20"/>
              </w:rPr>
            </w:pPr>
          </w:p>
        </w:tc>
        <w:tc>
          <w:tcPr>
            <w:tcW w:w="7366" w:type="dxa"/>
            <w:gridSpan w:val="2"/>
          </w:tcPr>
          <w:p w14:paraId="456DD691" w14:textId="604DDFA9" w:rsidR="00666362" w:rsidRPr="006D31CE" w:rsidRDefault="00666362" w:rsidP="00666362">
            <w:pPr>
              <w:rPr>
                <w:rFonts w:ascii="Calibri" w:hAnsi="Calibri" w:cs="Calibri"/>
                <w:b/>
                <w:bCs/>
                <w:sz w:val="20"/>
                <w:szCs w:val="20"/>
              </w:rPr>
            </w:pPr>
            <w:r>
              <w:rPr>
                <w:rFonts w:ascii="Calibri" w:hAnsi="Calibri" w:cs="Calibri"/>
                <w:sz w:val="20"/>
                <w:szCs w:val="20"/>
              </w:rPr>
              <w:t xml:space="preserve">We continue to run groundwater and soil vapour extraction (SVE) on the PFS. There remains no floating product in monitoring wells on the site. We continue to monitor vapour levels through the </w:t>
            </w:r>
            <w:r w:rsidR="006D6806">
              <w:rPr>
                <w:rFonts w:ascii="Calibri" w:hAnsi="Calibri" w:cs="Calibri"/>
                <w:sz w:val="20"/>
                <w:szCs w:val="20"/>
              </w:rPr>
              <w:t>SVE,</w:t>
            </w:r>
            <w:r>
              <w:rPr>
                <w:rFonts w:ascii="Calibri" w:hAnsi="Calibri" w:cs="Calibri"/>
                <w:sz w:val="20"/>
                <w:szCs w:val="20"/>
              </w:rPr>
              <w:t xml:space="preserve"> and a downward trend has been noted. We expect some variation with the seasonal changes in groundwater levels increasing the unsaturated soil zone. We will continue to monitor the groundwater and vapour levels. </w:t>
            </w:r>
          </w:p>
        </w:tc>
      </w:tr>
      <w:tr w:rsidR="00666362" w14:paraId="0B0B6656" w14:textId="77777777" w:rsidTr="005D0BD5">
        <w:trPr>
          <w:trHeight w:val="488"/>
        </w:trPr>
        <w:tc>
          <w:tcPr>
            <w:tcW w:w="1430" w:type="dxa"/>
            <w:vMerge/>
          </w:tcPr>
          <w:p w14:paraId="3A8D9D02" w14:textId="77777777" w:rsidR="00666362" w:rsidRPr="00230218" w:rsidRDefault="00666362" w:rsidP="00666362">
            <w:pPr>
              <w:rPr>
                <w:rFonts w:ascii="Calibri" w:hAnsi="Calibri" w:cs="Calibri"/>
                <w:b/>
                <w:bCs/>
              </w:rPr>
            </w:pPr>
          </w:p>
        </w:tc>
        <w:tc>
          <w:tcPr>
            <w:tcW w:w="1400" w:type="dxa"/>
          </w:tcPr>
          <w:p w14:paraId="50FD56C1" w14:textId="424E501C" w:rsidR="00666362" w:rsidRDefault="00666362" w:rsidP="00666362">
            <w:pPr>
              <w:rPr>
                <w:rFonts w:ascii="Calibri" w:hAnsi="Calibri" w:cs="Calibri"/>
                <w:b/>
                <w:bCs/>
                <w:sz w:val="20"/>
                <w:szCs w:val="20"/>
              </w:rPr>
            </w:pPr>
            <w:r>
              <w:rPr>
                <w:rFonts w:ascii="Calibri" w:hAnsi="Calibri" w:cs="Calibri"/>
                <w:b/>
                <w:bCs/>
                <w:sz w:val="20"/>
                <w:szCs w:val="20"/>
              </w:rPr>
              <w:t xml:space="preserve">Progress on investigations and actions re </w:t>
            </w:r>
            <w:r>
              <w:rPr>
                <w:rFonts w:ascii="Calibri" w:hAnsi="Calibri" w:cs="Calibri"/>
                <w:b/>
                <w:bCs/>
                <w:sz w:val="20"/>
                <w:szCs w:val="20"/>
              </w:rPr>
              <w:lastRenderedPageBreak/>
              <w:t>remediation off site</w:t>
            </w:r>
          </w:p>
          <w:p w14:paraId="2986BB7D" w14:textId="475B07B2" w:rsidR="00666362" w:rsidRPr="006D31CE" w:rsidRDefault="00666362" w:rsidP="00666362">
            <w:pPr>
              <w:rPr>
                <w:rFonts w:ascii="Calibri" w:hAnsi="Calibri" w:cs="Calibri"/>
                <w:b/>
                <w:bCs/>
                <w:sz w:val="20"/>
                <w:szCs w:val="20"/>
              </w:rPr>
            </w:pPr>
          </w:p>
        </w:tc>
        <w:tc>
          <w:tcPr>
            <w:tcW w:w="7366" w:type="dxa"/>
            <w:gridSpan w:val="2"/>
          </w:tcPr>
          <w:p w14:paraId="19C2CE49" w14:textId="61F653FF" w:rsidR="00666362" w:rsidRDefault="00666362" w:rsidP="00666362">
            <w:pPr>
              <w:rPr>
                <w:rFonts w:ascii="Calibri" w:hAnsi="Calibri" w:cs="Calibri"/>
                <w:sz w:val="20"/>
                <w:szCs w:val="20"/>
              </w:rPr>
            </w:pPr>
            <w:r w:rsidRPr="001E0430">
              <w:rPr>
                <w:rFonts w:ascii="Calibri" w:hAnsi="Calibri" w:cs="Calibri"/>
                <w:sz w:val="20"/>
                <w:szCs w:val="20"/>
              </w:rPr>
              <w:lastRenderedPageBreak/>
              <w:t xml:space="preserve">The second system is now </w:t>
            </w:r>
            <w:r w:rsidR="005A576A" w:rsidRPr="001E0430">
              <w:rPr>
                <w:rFonts w:ascii="Calibri" w:hAnsi="Calibri" w:cs="Calibri"/>
                <w:sz w:val="20"/>
                <w:szCs w:val="20"/>
              </w:rPr>
              <w:t>operational,</w:t>
            </w:r>
            <w:r>
              <w:rPr>
                <w:rFonts w:ascii="Calibri" w:hAnsi="Calibri" w:cs="Calibri"/>
                <w:sz w:val="20"/>
                <w:szCs w:val="20"/>
              </w:rPr>
              <w:t xml:space="preserve"> and we are in a phase of optimisation, meaning we are regularly on-site tweaking the pumping rates in the network and monitoring the effect. </w:t>
            </w:r>
          </w:p>
          <w:p w14:paraId="61708349" w14:textId="77777777" w:rsidR="00666362" w:rsidRDefault="00666362" w:rsidP="00666362">
            <w:pPr>
              <w:rPr>
                <w:rFonts w:ascii="Calibri" w:hAnsi="Calibri" w:cs="Calibri"/>
                <w:sz w:val="20"/>
                <w:szCs w:val="20"/>
              </w:rPr>
            </w:pPr>
          </w:p>
          <w:p w14:paraId="34696D46" w14:textId="77777777" w:rsidR="00666362" w:rsidRDefault="00666362" w:rsidP="00666362">
            <w:pPr>
              <w:rPr>
                <w:rFonts w:ascii="Calibri" w:hAnsi="Calibri" w:cs="Calibri"/>
                <w:sz w:val="20"/>
                <w:szCs w:val="20"/>
              </w:rPr>
            </w:pPr>
            <w:r>
              <w:rPr>
                <w:rFonts w:ascii="Calibri" w:hAnsi="Calibri" w:cs="Calibri"/>
                <w:sz w:val="20"/>
                <w:szCs w:val="20"/>
              </w:rPr>
              <w:t xml:space="preserve">We have observed product in the two boreholes closest to the petrol station and they are the focus of the pumping efforts at present. Once we are confident that there is no free product in the offsite remedial wells, we will apply SVE. If we turn on the SVE with product in the wells then we will simply burn through carbon at an unsustainable rate.  </w:t>
            </w:r>
          </w:p>
          <w:p w14:paraId="4B91E388" w14:textId="77777777" w:rsidR="00666362" w:rsidRDefault="00666362" w:rsidP="00666362">
            <w:pPr>
              <w:rPr>
                <w:rFonts w:ascii="Calibri" w:hAnsi="Calibri" w:cs="Calibri"/>
                <w:sz w:val="20"/>
                <w:szCs w:val="20"/>
              </w:rPr>
            </w:pPr>
          </w:p>
          <w:p w14:paraId="36D2AEB9" w14:textId="77777777" w:rsidR="00666362" w:rsidRDefault="00666362" w:rsidP="00666362">
            <w:pPr>
              <w:rPr>
                <w:rFonts w:ascii="Calibri" w:hAnsi="Calibri" w:cs="Calibri"/>
                <w:sz w:val="20"/>
                <w:szCs w:val="20"/>
              </w:rPr>
            </w:pPr>
            <w:r>
              <w:rPr>
                <w:rFonts w:ascii="Calibri" w:hAnsi="Calibri" w:cs="Calibri"/>
                <w:sz w:val="20"/>
                <w:szCs w:val="20"/>
              </w:rPr>
              <w:t>No free product was recorded in any offsite wells (other than OSBH01 &amp; OSBH02) in the recent monitoring round.</w:t>
            </w:r>
          </w:p>
          <w:p w14:paraId="4B85D2A3" w14:textId="77777777" w:rsidR="00666362" w:rsidRDefault="00666362" w:rsidP="00666362">
            <w:pPr>
              <w:rPr>
                <w:rFonts w:ascii="Calibri" w:hAnsi="Calibri" w:cs="Calibri"/>
                <w:sz w:val="20"/>
                <w:szCs w:val="20"/>
              </w:rPr>
            </w:pPr>
          </w:p>
          <w:p w14:paraId="65CD2B84" w14:textId="13BB877A" w:rsidR="00666362" w:rsidRDefault="00666362" w:rsidP="00666362">
            <w:r>
              <w:rPr>
                <w:rFonts w:ascii="Calibri" w:hAnsi="Calibri" w:cs="Calibri"/>
                <w:sz w:val="20"/>
                <w:szCs w:val="20"/>
              </w:rPr>
              <w:t xml:space="preserve">We issued </w:t>
            </w:r>
            <w:r w:rsidR="005A576A">
              <w:rPr>
                <w:rFonts w:ascii="Calibri" w:hAnsi="Calibri" w:cs="Calibri"/>
                <w:sz w:val="20"/>
                <w:szCs w:val="20"/>
              </w:rPr>
              <w:t>new traffic</w:t>
            </w:r>
            <w:r>
              <w:rPr>
                <w:rFonts w:ascii="Calibri" w:hAnsi="Calibri" w:cs="Calibri"/>
                <w:sz w:val="20"/>
                <w:szCs w:val="20"/>
              </w:rPr>
              <w:t xml:space="preserve"> management plans for the ‘Land South of High Street’ and await input from Highways. It looks like that will be end of January at the earliest. </w:t>
            </w:r>
          </w:p>
        </w:tc>
      </w:tr>
      <w:tr w:rsidR="00666362" w14:paraId="37AE0D27" w14:textId="77777777" w:rsidTr="005D0BD5">
        <w:trPr>
          <w:trHeight w:val="488"/>
        </w:trPr>
        <w:tc>
          <w:tcPr>
            <w:tcW w:w="1430" w:type="dxa"/>
            <w:vMerge/>
          </w:tcPr>
          <w:p w14:paraId="4F619CA0" w14:textId="77777777" w:rsidR="00666362" w:rsidRPr="00230218" w:rsidRDefault="00666362" w:rsidP="00666362">
            <w:pPr>
              <w:rPr>
                <w:rFonts w:ascii="Calibri" w:hAnsi="Calibri" w:cs="Calibri"/>
                <w:b/>
                <w:bCs/>
              </w:rPr>
            </w:pPr>
          </w:p>
        </w:tc>
        <w:tc>
          <w:tcPr>
            <w:tcW w:w="1400" w:type="dxa"/>
          </w:tcPr>
          <w:p w14:paraId="6BF9FFF8" w14:textId="387BC9C9" w:rsidR="00666362" w:rsidRPr="003656A3" w:rsidRDefault="00666362" w:rsidP="00666362">
            <w:pPr>
              <w:rPr>
                <w:rFonts w:ascii="Calibri" w:hAnsi="Calibri" w:cs="Calibri"/>
                <w:b/>
                <w:bCs/>
                <w:sz w:val="20"/>
                <w:szCs w:val="20"/>
              </w:rPr>
            </w:pPr>
            <w:r>
              <w:rPr>
                <w:rFonts w:ascii="Calibri" w:hAnsi="Calibri" w:cs="Calibri"/>
                <w:b/>
                <w:bCs/>
                <w:sz w:val="20"/>
                <w:szCs w:val="20"/>
              </w:rPr>
              <w:t>O</w:t>
            </w:r>
            <w:r w:rsidRPr="003656A3">
              <w:rPr>
                <w:rFonts w:ascii="Calibri" w:hAnsi="Calibri" w:cs="Calibri"/>
                <w:b/>
                <w:bCs/>
                <w:sz w:val="20"/>
                <w:szCs w:val="20"/>
              </w:rPr>
              <w:t>ther investigations and actions</w:t>
            </w:r>
          </w:p>
          <w:p w14:paraId="1F3100E6" w14:textId="7EBD4E47" w:rsidR="00666362" w:rsidRDefault="00666362" w:rsidP="00666362"/>
        </w:tc>
        <w:tc>
          <w:tcPr>
            <w:tcW w:w="7366" w:type="dxa"/>
            <w:gridSpan w:val="2"/>
          </w:tcPr>
          <w:p w14:paraId="4676354D" w14:textId="77777777" w:rsidR="00666362" w:rsidRDefault="00666362" w:rsidP="00666362">
            <w:pPr>
              <w:rPr>
                <w:rFonts w:ascii="Calibri" w:hAnsi="Calibri" w:cs="Calibri"/>
                <w:sz w:val="20"/>
                <w:szCs w:val="20"/>
              </w:rPr>
            </w:pPr>
            <w:r w:rsidRPr="001E0430">
              <w:rPr>
                <w:rFonts w:ascii="Calibri" w:hAnsi="Calibri" w:cs="Calibri"/>
                <w:sz w:val="20"/>
                <w:szCs w:val="20"/>
              </w:rPr>
              <w:t xml:space="preserve">The booms on the stream continue to be checked and replaced regularly. </w:t>
            </w:r>
            <w:r>
              <w:rPr>
                <w:rFonts w:ascii="Calibri" w:hAnsi="Calibri" w:cs="Calibri"/>
                <w:sz w:val="20"/>
                <w:szCs w:val="20"/>
              </w:rPr>
              <w:t xml:space="preserve">There have been no reports of product in the stream or on the booms during recent visits. </w:t>
            </w:r>
          </w:p>
          <w:p w14:paraId="6EC2867B" w14:textId="1743CD8B" w:rsidR="00666362" w:rsidRDefault="00666362" w:rsidP="00666362"/>
        </w:tc>
      </w:tr>
      <w:tr w:rsidR="006D052B" w14:paraId="7007E4C9" w14:textId="77777777" w:rsidTr="00BD1A97">
        <w:trPr>
          <w:trHeight w:val="587"/>
        </w:trPr>
        <w:tc>
          <w:tcPr>
            <w:tcW w:w="1430" w:type="dxa"/>
            <w:vMerge w:val="restart"/>
            <w:vAlign w:val="center"/>
          </w:tcPr>
          <w:p w14:paraId="2095BE7F" w14:textId="77777777" w:rsidR="006D052B" w:rsidRPr="00230218" w:rsidRDefault="006D052B" w:rsidP="00BD1A97">
            <w:pPr>
              <w:rPr>
                <w:rFonts w:ascii="Calibri" w:hAnsi="Calibri" w:cs="Calibri"/>
                <w:b/>
                <w:bCs/>
              </w:rPr>
            </w:pPr>
            <w:r w:rsidRPr="00230218">
              <w:rPr>
                <w:rFonts w:ascii="Calibri" w:hAnsi="Calibri" w:cs="Calibri"/>
                <w:b/>
                <w:bCs/>
              </w:rPr>
              <w:t xml:space="preserve">From Thames Water </w:t>
            </w:r>
          </w:p>
          <w:p w14:paraId="5F5BC72C" w14:textId="04F9DB98" w:rsidR="006D052B" w:rsidRPr="00230218" w:rsidRDefault="006D052B" w:rsidP="00BD1A97">
            <w:pPr>
              <w:rPr>
                <w:rFonts w:ascii="Calibri" w:hAnsi="Calibri" w:cs="Calibri"/>
                <w:b/>
                <w:bCs/>
              </w:rPr>
            </w:pPr>
          </w:p>
        </w:tc>
        <w:tc>
          <w:tcPr>
            <w:tcW w:w="1400" w:type="dxa"/>
          </w:tcPr>
          <w:p w14:paraId="08A5C535" w14:textId="5018DC75" w:rsidR="006D052B" w:rsidRPr="00BD1A97" w:rsidRDefault="00210D70" w:rsidP="001943DA">
            <w:pPr>
              <w:rPr>
                <w:rFonts w:ascii="Calibri" w:hAnsi="Calibri" w:cs="Calibri"/>
                <w:b/>
                <w:bCs/>
                <w:sz w:val="20"/>
                <w:szCs w:val="20"/>
              </w:rPr>
            </w:pPr>
            <w:r>
              <w:rPr>
                <w:rFonts w:ascii="Calibri" w:hAnsi="Calibri" w:cs="Calibri"/>
                <w:b/>
                <w:bCs/>
                <w:sz w:val="20"/>
                <w:szCs w:val="20"/>
              </w:rPr>
              <w:t>Feedback on s</w:t>
            </w:r>
            <w:r w:rsidR="00BD1A97" w:rsidRPr="00BD1A97">
              <w:rPr>
                <w:rFonts w:ascii="Calibri" w:hAnsi="Calibri" w:cs="Calibri"/>
                <w:b/>
                <w:bCs/>
                <w:sz w:val="20"/>
                <w:szCs w:val="20"/>
              </w:rPr>
              <w:t xml:space="preserve">ampling </w:t>
            </w:r>
          </w:p>
        </w:tc>
        <w:tc>
          <w:tcPr>
            <w:tcW w:w="7366" w:type="dxa"/>
            <w:gridSpan w:val="2"/>
          </w:tcPr>
          <w:p w14:paraId="2A44DA41" w14:textId="4BC11F5A" w:rsidR="00210D70" w:rsidRPr="0076299D" w:rsidRDefault="0076299D" w:rsidP="001943DA">
            <w:pPr>
              <w:rPr>
                <w:rFonts w:ascii="Calibri" w:hAnsi="Calibri" w:cs="Calibri"/>
                <w:sz w:val="20"/>
                <w:szCs w:val="20"/>
              </w:rPr>
            </w:pPr>
            <w:r w:rsidRPr="0076299D">
              <w:rPr>
                <w:rFonts w:ascii="Calibri" w:hAnsi="Calibri" w:cs="Calibri"/>
                <w:sz w:val="20"/>
                <w:szCs w:val="20"/>
              </w:rPr>
              <w:t>Enhanced monitoring continues to be undertaken around the village and samples continue to show no concerns with the drinking water quality.</w:t>
            </w:r>
          </w:p>
          <w:p w14:paraId="5EF4CA75" w14:textId="6309C3B4" w:rsidR="00210D70" w:rsidRDefault="00210D70" w:rsidP="001943DA"/>
        </w:tc>
      </w:tr>
      <w:tr w:rsidR="006D052B" w14:paraId="2C267D2E" w14:textId="77777777" w:rsidTr="006D052B">
        <w:trPr>
          <w:trHeight w:val="587"/>
        </w:trPr>
        <w:tc>
          <w:tcPr>
            <w:tcW w:w="1430" w:type="dxa"/>
            <w:vMerge/>
          </w:tcPr>
          <w:p w14:paraId="35F56EBB" w14:textId="77777777" w:rsidR="006D052B" w:rsidRPr="00230218" w:rsidRDefault="006D052B" w:rsidP="001943DA">
            <w:pPr>
              <w:rPr>
                <w:rFonts w:ascii="Calibri" w:hAnsi="Calibri" w:cs="Calibri"/>
                <w:b/>
                <w:bCs/>
              </w:rPr>
            </w:pPr>
          </w:p>
        </w:tc>
        <w:tc>
          <w:tcPr>
            <w:tcW w:w="1400" w:type="dxa"/>
          </w:tcPr>
          <w:p w14:paraId="5902FF52" w14:textId="33A91EA0" w:rsidR="006D052B" w:rsidRPr="00BD1A97" w:rsidRDefault="00210D70" w:rsidP="001943DA">
            <w:pPr>
              <w:rPr>
                <w:rFonts w:ascii="Calibri" w:hAnsi="Calibri" w:cs="Calibri"/>
                <w:b/>
                <w:bCs/>
                <w:sz w:val="20"/>
                <w:szCs w:val="20"/>
              </w:rPr>
            </w:pPr>
            <w:r>
              <w:rPr>
                <w:rFonts w:ascii="Calibri" w:hAnsi="Calibri" w:cs="Calibri"/>
                <w:b/>
                <w:bCs/>
                <w:sz w:val="20"/>
                <w:szCs w:val="20"/>
              </w:rPr>
              <w:t>Other investigations and actions</w:t>
            </w:r>
          </w:p>
        </w:tc>
        <w:tc>
          <w:tcPr>
            <w:tcW w:w="7366" w:type="dxa"/>
            <w:gridSpan w:val="2"/>
          </w:tcPr>
          <w:p w14:paraId="23A5D699" w14:textId="680C15CE" w:rsidR="00210D70" w:rsidRPr="0076299D" w:rsidRDefault="0076299D" w:rsidP="0076299D">
            <w:pPr>
              <w:rPr>
                <w:rFonts w:ascii="Calibri" w:hAnsi="Calibri" w:cs="Calibri"/>
                <w:sz w:val="20"/>
                <w:szCs w:val="20"/>
              </w:rPr>
            </w:pPr>
            <w:r w:rsidRPr="0076299D">
              <w:rPr>
                <w:rFonts w:ascii="Calibri" w:hAnsi="Calibri" w:cs="Calibri"/>
                <w:sz w:val="20"/>
                <w:szCs w:val="20"/>
              </w:rPr>
              <w:t>Repairs to a leak</w:t>
            </w:r>
            <w:r>
              <w:rPr>
                <w:rFonts w:ascii="Calibri" w:hAnsi="Calibri" w:cs="Calibri"/>
                <w:sz w:val="20"/>
                <w:szCs w:val="20"/>
              </w:rPr>
              <w:t xml:space="preserve">ing hydrant located on Station Road were completed on 12 December 2024. </w:t>
            </w:r>
            <w:r w:rsidRPr="0076299D">
              <w:rPr>
                <w:rFonts w:ascii="Calibri" w:hAnsi="Calibri" w:cs="Calibri"/>
                <w:sz w:val="20"/>
                <w:szCs w:val="20"/>
              </w:rPr>
              <w:t>We continue to work with other stakeholders</w:t>
            </w:r>
            <w:r>
              <w:rPr>
                <w:rFonts w:ascii="Calibri" w:hAnsi="Calibri" w:cs="Calibri"/>
                <w:sz w:val="20"/>
                <w:szCs w:val="20"/>
              </w:rPr>
              <w:t xml:space="preserve"> to support ongoing investigations.</w:t>
            </w:r>
          </w:p>
        </w:tc>
      </w:tr>
      <w:tr w:rsidR="001B767F" w14:paraId="7086C349" w14:textId="77777777" w:rsidTr="006D052B">
        <w:trPr>
          <w:trHeight w:val="587"/>
        </w:trPr>
        <w:tc>
          <w:tcPr>
            <w:tcW w:w="1430" w:type="dxa"/>
          </w:tcPr>
          <w:p w14:paraId="1F365899" w14:textId="66329D31" w:rsidR="001B767F" w:rsidRPr="00230218" w:rsidRDefault="001B767F" w:rsidP="001943DA">
            <w:pPr>
              <w:rPr>
                <w:rFonts w:ascii="Calibri" w:hAnsi="Calibri" w:cs="Calibri"/>
                <w:b/>
                <w:bCs/>
              </w:rPr>
            </w:pPr>
            <w:r>
              <w:rPr>
                <w:rFonts w:ascii="Calibri" w:hAnsi="Calibri" w:cs="Calibri"/>
                <w:b/>
                <w:bCs/>
              </w:rPr>
              <w:t>From SGN</w:t>
            </w:r>
          </w:p>
        </w:tc>
        <w:tc>
          <w:tcPr>
            <w:tcW w:w="1400" w:type="dxa"/>
          </w:tcPr>
          <w:p w14:paraId="47BD608F" w14:textId="77777777" w:rsidR="001B767F" w:rsidRDefault="001B767F" w:rsidP="001943DA">
            <w:pPr>
              <w:rPr>
                <w:rFonts w:ascii="Calibri" w:hAnsi="Calibri" w:cs="Calibri"/>
                <w:b/>
                <w:bCs/>
                <w:sz w:val="20"/>
                <w:szCs w:val="20"/>
              </w:rPr>
            </w:pPr>
            <w:r>
              <w:rPr>
                <w:rFonts w:ascii="Calibri" w:hAnsi="Calibri" w:cs="Calibri"/>
                <w:b/>
                <w:bCs/>
                <w:sz w:val="20"/>
                <w:szCs w:val="20"/>
              </w:rPr>
              <w:t>Progress on investigations and actions</w:t>
            </w:r>
          </w:p>
          <w:p w14:paraId="02F1AA72" w14:textId="4C4CA4CC" w:rsidR="001B767F" w:rsidRDefault="001B767F" w:rsidP="001943DA">
            <w:pPr>
              <w:rPr>
                <w:rFonts w:ascii="Calibri" w:hAnsi="Calibri" w:cs="Calibri"/>
                <w:b/>
                <w:bCs/>
                <w:sz w:val="20"/>
                <w:szCs w:val="20"/>
              </w:rPr>
            </w:pPr>
          </w:p>
        </w:tc>
        <w:tc>
          <w:tcPr>
            <w:tcW w:w="7366" w:type="dxa"/>
            <w:gridSpan w:val="2"/>
          </w:tcPr>
          <w:p w14:paraId="6F43DF00" w14:textId="66698BA3" w:rsidR="00775BCA" w:rsidRDefault="00775BCA" w:rsidP="00775BCA">
            <w:pPr>
              <w:rPr>
                <w:rFonts w:ascii="Calibri" w:hAnsi="Calibri" w:cs="Calibri"/>
                <w:sz w:val="20"/>
                <w:szCs w:val="20"/>
              </w:rPr>
            </w:pPr>
            <w:r w:rsidRPr="00151533">
              <w:rPr>
                <w:rFonts w:ascii="Calibri" w:hAnsi="Calibri" w:cs="Calibri"/>
                <w:sz w:val="20"/>
                <w:szCs w:val="20"/>
              </w:rPr>
              <w:t xml:space="preserve">We’re currently monitoring a minor gas reading at </w:t>
            </w:r>
            <w:proofErr w:type="spellStart"/>
            <w:r w:rsidRPr="00151533">
              <w:rPr>
                <w:rFonts w:ascii="Calibri" w:hAnsi="Calibri" w:cs="Calibri"/>
                <w:sz w:val="20"/>
                <w:szCs w:val="20"/>
              </w:rPr>
              <w:t>Snowdenham</w:t>
            </w:r>
            <w:proofErr w:type="spellEnd"/>
            <w:r w:rsidRPr="00151533">
              <w:rPr>
                <w:rFonts w:ascii="Calibri" w:hAnsi="Calibri" w:cs="Calibri"/>
                <w:sz w:val="20"/>
                <w:szCs w:val="20"/>
              </w:rPr>
              <w:t xml:space="preserve"> Lane’s junction with Bramley High Street roundabout.</w:t>
            </w:r>
          </w:p>
          <w:p w14:paraId="646627B0" w14:textId="77777777" w:rsidR="00151533" w:rsidRPr="00151533" w:rsidRDefault="00151533" w:rsidP="00775BCA">
            <w:pPr>
              <w:rPr>
                <w:rFonts w:ascii="Calibri" w:hAnsi="Calibri" w:cs="Calibri"/>
                <w:sz w:val="20"/>
                <w:szCs w:val="20"/>
              </w:rPr>
            </w:pPr>
          </w:p>
          <w:p w14:paraId="56288629" w14:textId="77777777" w:rsidR="00775BCA" w:rsidRPr="00151533" w:rsidRDefault="00775BCA" w:rsidP="00775BCA">
            <w:pPr>
              <w:rPr>
                <w:rFonts w:ascii="Calibri" w:hAnsi="Calibri" w:cs="Calibri"/>
                <w:b/>
                <w:bCs/>
                <w:sz w:val="20"/>
                <w:szCs w:val="20"/>
              </w:rPr>
            </w:pPr>
            <w:r w:rsidRPr="00151533">
              <w:rPr>
                <w:rFonts w:ascii="Calibri" w:hAnsi="Calibri" w:cs="Calibri"/>
                <w:sz w:val="20"/>
                <w:szCs w:val="20"/>
              </w:rPr>
              <w:t>We plan to carry out further investigations and any required remediation measures to address the issue</w:t>
            </w:r>
            <w:r w:rsidRPr="00151533">
              <w:rPr>
                <w:rFonts w:ascii="Calibri" w:hAnsi="Calibri" w:cs="Calibri"/>
                <w:b/>
                <w:bCs/>
                <w:sz w:val="20"/>
                <w:szCs w:val="20"/>
              </w:rPr>
              <w:t xml:space="preserve">. </w:t>
            </w:r>
            <w:r w:rsidRPr="00151533">
              <w:rPr>
                <w:rFonts w:ascii="Calibri" w:hAnsi="Calibri" w:cs="Calibri"/>
                <w:sz w:val="20"/>
                <w:szCs w:val="20"/>
              </w:rPr>
              <w:t>We’ll update the local community with details of our work once it has been planned in consultation with the local authorities.</w:t>
            </w:r>
          </w:p>
          <w:p w14:paraId="0C24881F" w14:textId="6BAFB5F3" w:rsidR="001B767F" w:rsidRPr="00151533" w:rsidRDefault="001B767F" w:rsidP="00775BCA">
            <w:pPr>
              <w:rPr>
                <w:rFonts w:ascii="Calibri" w:hAnsi="Calibri" w:cs="Calibri"/>
                <w:sz w:val="20"/>
                <w:szCs w:val="20"/>
              </w:rPr>
            </w:pPr>
          </w:p>
        </w:tc>
      </w:tr>
      <w:tr w:rsidR="00210D70" w14:paraId="20575911" w14:textId="77777777" w:rsidTr="00210D70">
        <w:trPr>
          <w:trHeight w:val="830"/>
        </w:trPr>
        <w:tc>
          <w:tcPr>
            <w:tcW w:w="2830" w:type="dxa"/>
            <w:gridSpan w:val="2"/>
            <w:vAlign w:val="center"/>
          </w:tcPr>
          <w:p w14:paraId="2798BCA6" w14:textId="5A1F47D6" w:rsidR="00210D70" w:rsidRDefault="00210D70" w:rsidP="00210D70">
            <w:r>
              <w:rPr>
                <w:rFonts w:ascii="Calibri" w:hAnsi="Calibri" w:cs="Calibri"/>
                <w:b/>
                <w:bCs/>
              </w:rPr>
              <w:t xml:space="preserve">Comments </w:t>
            </w:r>
            <w:r w:rsidRPr="00230218">
              <w:rPr>
                <w:rFonts w:ascii="Calibri" w:hAnsi="Calibri" w:cs="Calibri"/>
                <w:b/>
                <w:bCs/>
              </w:rPr>
              <w:t xml:space="preserve">From the Regulators </w:t>
            </w:r>
          </w:p>
        </w:tc>
        <w:tc>
          <w:tcPr>
            <w:tcW w:w="7366" w:type="dxa"/>
            <w:gridSpan w:val="2"/>
          </w:tcPr>
          <w:p w14:paraId="1D281B54" w14:textId="4E3C8198" w:rsidR="00210D70" w:rsidRDefault="002E00A2" w:rsidP="001943DA">
            <w:pPr>
              <w:rPr>
                <w:rFonts w:ascii="Calibri" w:hAnsi="Calibri" w:cs="Calibri"/>
                <w:sz w:val="20"/>
                <w:szCs w:val="20"/>
              </w:rPr>
            </w:pPr>
            <w:r w:rsidRPr="00727E14">
              <w:rPr>
                <w:rFonts w:ascii="Calibri" w:hAnsi="Calibri" w:cs="Calibri"/>
                <w:b/>
                <w:bCs/>
                <w:sz w:val="20"/>
                <w:szCs w:val="20"/>
              </w:rPr>
              <w:t>Environment Agency</w:t>
            </w:r>
            <w:r>
              <w:rPr>
                <w:rFonts w:ascii="Calibri" w:hAnsi="Calibri" w:cs="Calibri"/>
                <w:sz w:val="20"/>
                <w:szCs w:val="20"/>
              </w:rPr>
              <w:t xml:space="preserve"> – Please </w:t>
            </w:r>
            <w:r w:rsidRPr="007D262D">
              <w:rPr>
                <w:rFonts w:ascii="Calibri" w:hAnsi="Calibri" w:cs="Calibri"/>
                <w:sz w:val="20"/>
                <w:szCs w:val="20"/>
              </w:rPr>
              <w:t xml:space="preserve">see </w:t>
            </w:r>
            <w:hyperlink r:id="rId12" w:history="1">
              <w:r w:rsidRPr="007D262D">
                <w:rPr>
                  <w:rStyle w:val="Hyperlink"/>
                  <w:rFonts w:ascii="Calibri" w:hAnsi="Calibri" w:cs="Calibri"/>
                  <w:sz w:val="20"/>
                  <w:szCs w:val="20"/>
                </w:rPr>
                <w:t>statement</w:t>
              </w:r>
            </w:hyperlink>
            <w:r>
              <w:rPr>
                <w:rFonts w:ascii="Calibri" w:hAnsi="Calibri" w:cs="Calibri"/>
                <w:sz w:val="20"/>
                <w:szCs w:val="20"/>
              </w:rPr>
              <w:t xml:space="preserve"> previously made by the </w:t>
            </w:r>
            <w:r w:rsidRPr="002E00A2">
              <w:rPr>
                <w:rFonts w:ascii="Calibri" w:hAnsi="Calibri" w:cs="Calibri"/>
                <w:sz w:val="20"/>
                <w:szCs w:val="20"/>
              </w:rPr>
              <w:t>EA</w:t>
            </w:r>
            <w:r w:rsidR="00727E14">
              <w:rPr>
                <w:rFonts w:ascii="Calibri" w:hAnsi="Calibri" w:cs="Calibri"/>
                <w:sz w:val="20"/>
                <w:szCs w:val="20"/>
              </w:rPr>
              <w:t>.</w:t>
            </w:r>
          </w:p>
          <w:p w14:paraId="365EAEE0" w14:textId="77777777" w:rsidR="00727E14" w:rsidRDefault="00727E14" w:rsidP="001943DA">
            <w:pPr>
              <w:rPr>
                <w:rFonts w:ascii="Calibri" w:hAnsi="Calibri" w:cs="Calibri"/>
                <w:sz w:val="20"/>
                <w:szCs w:val="20"/>
              </w:rPr>
            </w:pPr>
          </w:p>
          <w:p w14:paraId="0A6D2792" w14:textId="77777777" w:rsidR="007D262D" w:rsidRDefault="00727E14" w:rsidP="001943DA">
            <w:pPr>
              <w:rPr>
                <w:rFonts w:ascii="Calibri" w:hAnsi="Calibri" w:cs="Calibri"/>
                <w:sz w:val="20"/>
                <w:szCs w:val="20"/>
              </w:rPr>
            </w:pPr>
            <w:r w:rsidRPr="00727E14">
              <w:rPr>
                <w:rFonts w:ascii="Calibri" w:hAnsi="Calibri" w:cs="Calibri"/>
                <w:b/>
                <w:bCs/>
                <w:sz w:val="20"/>
                <w:szCs w:val="20"/>
              </w:rPr>
              <w:t>Waverley Borough Council (Environmental Protection)</w:t>
            </w:r>
            <w:r>
              <w:rPr>
                <w:rFonts w:ascii="Calibri" w:hAnsi="Calibri" w:cs="Calibri"/>
                <w:sz w:val="20"/>
                <w:szCs w:val="20"/>
              </w:rPr>
              <w:t xml:space="preserve"> – Asda/EPS and Openreach/OHES were pleased to be able to feedback on actions they have been taking at the Public Meeting on 29 November. Since then, the Technical Working Group, which includes SGN (currently) and SCC Highways, have been working together to facilitate the repair of </w:t>
            </w:r>
            <w:r w:rsidR="009A7EA4">
              <w:rPr>
                <w:rFonts w:ascii="Calibri" w:hAnsi="Calibri" w:cs="Calibri"/>
                <w:sz w:val="20"/>
                <w:szCs w:val="20"/>
              </w:rPr>
              <w:t>a</w:t>
            </w:r>
            <w:r>
              <w:rPr>
                <w:rFonts w:ascii="Calibri" w:hAnsi="Calibri" w:cs="Calibri"/>
                <w:sz w:val="20"/>
                <w:szCs w:val="20"/>
              </w:rPr>
              <w:t xml:space="preserve"> Thames Water leak</w:t>
            </w:r>
            <w:r w:rsidR="00F50151">
              <w:rPr>
                <w:rFonts w:ascii="Calibri" w:hAnsi="Calibri" w:cs="Calibri"/>
                <w:sz w:val="20"/>
                <w:szCs w:val="20"/>
              </w:rPr>
              <w:t xml:space="preserve"> </w:t>
            </w:r>
            <w:r>
              <w:rPr>
                <w:rFonts w:ascii="Calibri" w:hAnsi="Calibri" w:cs="Calibri"/>
                <w:sz w:val="20"/>
                <w:szCs w:val="20"/>
              </w:rPr>
              <w:t xml:space="preserve">and planning for the investigation and repair of the SGN’s assets. </w:t>
            </w:r>
            <w:r w:rsidR="009A7EA4">
              <w:rPr>
                <w:rFonts w:ascii="Calibri" w:hAnsi="Calibri" w:cs="Calibri"/>
                <w:sz w:val="20"/>
                <w:szCs w:val="20"/>
              </w:rPr>
              <w:t>T</w:t>
            </w:r>
            <w:r>
              <w:rPr>
                <w:rFonts w:ascii="Calibri" w:hAnsi="Calibri" w:cs="Calibri"/>
                <w:sz w:val="20"/>
                <w:szCs w:val="20"/>
              </w:rPr>
              <w:t>he</w:t>
            </w:r>
            <w:r w:rsidR="009A7EA4">
              <w:rPr>
                <w:rFonts w:ascii="Calibri" w:hAnsi="Calibri" w:cs="Calibri"/>
                <w:sz w:val="20"/>
                <w:szCs w:val="20"/>
              </w:rPr>
              <w:t xml:space="preserve">se </w:t>
            </w:r>
            <w:r>
              <w:rPr>
                <w:rFonts w:ascii="Calibri" w:hAnsi="Calibri" w:cs="Calibri"/>
                <w:sz w:val="20"/>
                <w:szCs w:val="20"/>
              </w:rPr>
              <w:t xml:space="preserve">actions </w:t>
            </w:r>
            <w:r w:rsidR="009A7EA4">
              <w:rPr>
                <w:rFonts w:ascii="Calibri" w:hAnsi="Calibri" w:cs="Calibri"/>
                <w:sz w:val="20"/>
                <w:szCs w:val="20"/>
              </w:rPr>
              <w:t xml:space="preserve">were/are </w:t>
            </w:r>
            <w:r>
              <w:rPr>
                <w:rFonts w:ascii="Calibri" w:hAnsi="Calibri" w:cs="Calibri"/>
                <w:sz w:val="20"/>
                <w:szCs w:val="20"/>
              </w:rPr>
              <w:t>needed</w:t>
            </w:r>
            <w:r w:rsidR="009A7EA4">
              <w:rPr>
                <w:rFonts w:ascii="Calibri" w:hAnsi="Calibri" w:cs="Calibri"/>
                <w:sz w:val="20"/>
                <w:szCs w:val="20"/>
              </w:rPr>
              <w:t xml:space="preserve"> before </w:t>
            </w:r>
            <w:r>
              <w:rPr>
                <w:rFonts w:ascii="Calibri" w:hAnsi="Calibri" w:cs="Calibri"/>
                <w:sz w:val="20"/>
                <w:szCs w:val="20"/>
              </w:rPr>
              <w:t xml:space="preserve">Openreach can </w:t>
            </w:r>
            <w:r w:rsidR="009A7EA4">
              <w:rPr>
                <w:rFonts w:ascii="Calibri" w:hAnsi="Calibri" w:cs="Calibri"/>
                <w:sz w:val="20"/>
                <w:szCs w:val="20"/>
              </w:rPr>
              <w:t>resume their investigations/repair of their assets. Now the Thames Water leak is repaired Asda/EPS can also run their extraction and treatment plant more efficiently.</w:t>
            </w:r>
          </w:p>
          <w:p w14:paraId="78B3AAC6" w14:textId="77777777" w:rsidR="007D262D" w:rsidRDefault="007D262D" w:rsidP="001943DA">
            <w:pPr>
              <w:rPr>
                <w:rFonts w:ascii="Calibri" w:hAnsi="Calibri" w:cs="Calibri"/>
                <w:sz w:val="20"/>
                <w:szCs w:val="20"/>
              </w:rPr>
            </w:pPr>
          </w:p>
          <w:p w14:paraId="5B3427F8" w14:textId="1893C9DC" w:rsidR="002E00A2" w:rsidRDefault="009A7EA4" w:rsidP="001943DA">
            <w:r>
              <w:rPr>
                <w:rFonts w:ascii="Calibri" w:hAnsi="Calibri" w:cs="Calibri"/>
                <w:sz w:val="20"/>
                <w:szCs w:val="20"/>
              </w:rPr>
              <w:t>Thanks to everyone on the Technical Working Group for your efforts.</w:t>
            </w:r>
          </w:p>
          <w:p w14:paraId="42A3C8B3" w14:textId="0633E428" w:rsidR="002E00A2" w:rsidRDefault="002E00A2" w:rsidP="001943DA"/>
        </w:tc>
      </w:tr>
    </w:tbl>
    <w:p w14:paraId="7DA79864" w14:textId="77777777" w:rsidR="009C1DEC" w:rsidRPr="001943DA" w:rsidRDefault="009C1DEC" w:rsidP="001943DA"/>
    <w:sectPr w:rsidR="009C1DEC" w:rsidRPr="001943DA" w:rsidSect="004F3FC3">
      <w:headerReference w:type="even" r:id="rId13"/>
      <w:headerReference w:type="default" r:id="rId14"/>
      <w:footerReference w:type="default" r:id="rId15"/>
      <w:headerReference w:type="first" r:id="rId16"/>
      <w:pgSz w:w="11906" w:h="16838"/>
      <w:pgMar w:top="993" w:right="849" w:bottom="851" w:left="851" w:header="567"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3049B" w14:textId="77777777" w:rsidR="008E1537" w:rsidRDefault="008E1537" w:rsidP="002C2B19">
      <w:r>
        <w:separator/>
      </w:r>
    </w:p>
  </w:endnote>
  <w:endnote w:type="continuationSeparator" w:id="0">
    <w:p w14:paraId="63A3B5C0" w14:textId="77777777" w:rsidR="008E1537" w:rsidRDefault="008E1537" w:rsidP="002C2B19">
      <w:r>
        <w:continuationSeparator/>
      </w:r>
    </w:p>
  </w:endnote>
  <w:endnote w:type="continuationNotice" w:id="1">
    <w:p w14:paraId="4CCF3274" w14:textId="77777777" w:rsidR="008E1537" w:rsidRDefault="008E1537" w:rsidP="002C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917959"/>
      <w:docPartObj>
        <w:docPartGallery w:val="Page Numbers (Bottom of Page)"/>
        <w:docPartUnique/>
      </w:docPartObj>
    </w:sdtPr>
    <w:sdtContent>
      <w:sdt>
        <w:sdtPr>
          <w:id w:val="-1769616900"/>
          <w:docPartObj>
            <w:docPartGallery w:val="Page Numbers (Top of Page)"/>
            <w:docPartUnique/>
          </w:docPartObj>
        </w:sdtPr>
        <w:sdtContent>
          <w:p w14:paraId="218E1FB4" w14:textId="77777777" w:rsidR="00626F14" w:rsidRPr="00626F14" w:rsidRDefault="00626F14" w:rsidP="004F3FC3">
            <w:pPr>
              <w:pStyle w:val="Footer"/>
              <w:jc w:val="right"/>
            </w:pPr>
            <w:r w:rsidRPr="00626F14">
              <w:t xml:space="preserve">Page </w:t>
            </w:r>
            <w:r w:rsidRPr="00626F14">
              <w:fldChar w:fldCharType="begin"/>
            </w:r>
            <w:r w:rsidRPr="00626F14">
              <w:instrText xml:space="preserve"> PAGE </w:instrText>
            </w:r>
            <w:r w:rsidRPr="00626F14">
              <w:fldChar w:fldCharType="separate"/>
            </w:r>
            <w:r w:rsidRPr="00626F14">
              <w:rPr>
                <w:noProof/>
              </w:rPr>
              <w:t>2</w:t>
            </w:r>
            <w:r w:rsidRPr="00626F14">
              <w:fldChar w:fldCharType="end"/>
            </w:r>
            <w:r w:rsidRPr="00626F14">
              <w:t xml:space="preserve"> of </w:t>
            </w:r>
            <w:fldSimple w:instr=" NUMPAGES  ">
              <w:r w:rsidRPr="00626F14">
                <w:rPr>
                  <w:noProof/>
                </w:rPr>
                <w:t>2</w:t>
              </w:r>
            </w:fldSimple>
          </w:p>
        </w:sdtContent>
      </w:sdt>
    </w:sdtContent>
  </w:sdt>
  <w:p w14:paraId="6462FB1B" w14:textId="77777777" w:rsidR="00626F14" w:rsidRPr="00626F14" w:rsidRDefault="00626F14" w:rsidP="002C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DDE0E" w14:textId="77777777" w:rsidR="008E1537" w:rsidRDefault="008E1537" w:rsidP="002C2B19">
      <w:r>
        <w:separator/>
      </w:r>
    </w:p>
  </w:footnote>
  <w:footnote w:type="continuationSeparator" w:id="0">
    <w:p w14:paraId="63E79E35" w14:textId="77777777" w:rsidR="008E1537" w:rsidRDefault="008E1537" w:rsidP="002C2B19">
      <w:r>
        <w:continuationSeparator/>
      </w:r>
    </w:p>
  </w:footnote>
  <w:footnote w:type="continuationNotice" w:id="1">
    <w:p w14:paraId="5EE1821B" w14:textId="77777777" w:rsidR="008E1537" w:rsidRDefault="008E1537" w:rsidP="002C2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E9E5" w14:textId="2BDB7AEF" w:rsidR="00775BCA" w:rsidRDefault="00775BCA">
    <w:pPr>
      <w:pStyle w:val="Header"/>
    </w:pPr>
    <w:r>
      <w:rPr>
        <w:noProof/>
      </w:rPr>
      <mc:AlternateContent>
        <mc:Choice Requires="wps">
          <w:drawing>
            <wp:anchor distT="0" distB="0" distL="0" distR="0" simplePos="0" relativeHeight="251659264" behindDoc="0" locked="0" layoutInCell="1" allowOverlap="1" wp14:anchorId="1E07E404" wp14:editId="67C6A7B2">
              <wp:simplePos x="635" y="635"/>
              <wp:positionH relativeFrom="page">
                <wp:align>left</wp:align>
              </wp:positionH>
              <wp:positionV relativeFrom="page">
                <wp:align>top</wp:align>
              </wp:positionV>
              <wp:extent cx="1311910" cy="357505"/>
              <wp:effectExtent l="0" t="0" r="2540" b="4445"/>
              <wp:wrapNone/>
              <wp:docPr id="1836553206" name="Text Box 2"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1910" cy="357505"/>
                      </a:xfrm>
                      <a:prstGeom prst="rect">
                        <a:avLst/>
                      </a:prstGeom>
                      <a:noFill/>
                      <a:ln>
                        <a:noFill/>
                      </a:ln>
                    </wps:spPr>
                    <wps:txbx>
                      <w:txbxContent>
                        <w:p w14:paraId="24C4E836" w14:textId="310D332A"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07E404" id="_x0000_t202" coordsize="21600,21600" o:spt="202" path="m,l,21600r21600,l21600,xe">
              <v:stroke joinstyle="miter"/>
              <v:path gradientshapeok="t" o:connecttype="rect"/>
            </v:shapetype>
            <v:shape id="Text Box 2" o:spid="_x0000_s1026" type="#_x0000_t202" alt="Classified as Internal" style="position:absolute;margin-left:0;margin-top:0;width:103.3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" filled="f" stroked="f">
              <v:fill o:detectmouseclick="t"/>
              <v:textbox style="mso-fit-shape-to-text:t" inset="20pt,15pt,0,0">
                <w:txbxContent>
                  <w:p w14:paraId="24C4E836" w14:textId="310D332A"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60BB" w14:textId="160B17DD" w:rsidR="00775BCA" w:rsidRDefault="00775BCA">
    <w:pPr>
      <w:pStyle w:val="Header"/>
    </w:pPr>
    <w:r>
      <w:rPr>
        <w:noProof/>
      </w:rPr>
      <mc:AlternateContent>
        <mc:Choice Requires="wps">
          <w:drawing>
            <wp:anchor distT="0" distB="0" distL="0" distR="0" simplePos="0" relativeHeight="251660288" behindDoc="0" locked="0" layoutInCell="1" allowOverlap="1" wp14:anchorId="429F2CC3" wp14:editId="0B416CBE">
              <wp:simplePos x="542925" y="361950"/>
              <wp:positionH relativeFrom="page">
                <wp:align>left</wp:align>
              </wp:positionH>
              <wp:positionV relativeFrom="page">
                <wp:align>top</wp:align>
              </wp:positionV>
              <wp:extent cx="1311910" cy="357505"/>
              <wp:effectExtent l="0" t="0" r="2540" b="4445"/>
              <wp:wrapNone/>
              <wp:docPr id="756269595" name="Text Box 3"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1910" cy="357505"/>
                      </a:xfrm>
                      <a:prstGeom prst="rect">
                        <a:avLst/>
                      </a:prstGeom>
                      <a:noFill/>
                      <a:ln>
                        <a:noFill/>
                      </a:ln>
                    </wps:spPr>
                    <wps:txbx>
                      <w:txbxContent>
                        <w:p w14:paraId="06FA737D" w14:textId="512D2EC4"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9F2CC3" id="_x0000_t202" coordsize="21600,21600" o:spt="202" path="m,l,21600r21600,l21600,xe">
              <v:stroke joinstyle="miter"/>
              <v:path gradientshapeok="t" o:connecttype="rect"/>
            </v:shapetype>
            <v:shape id="Text Box 3" o:spid="_x0000_s1027" type="#_x0000_t202" alt="Classified as Internal" style="position:absolute;margin-left:0;margin-top:0;width:103.3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" filled="f" stroked="f">
              <v:fill o:detectmouseclick="t"/>
              <v:textbox style="mso-fit-shape-to-text:t" inset="20pt,15pt,0,0">
                <w:txbxContent>
                  <w:p w14:paraId="06FA737D" w14:textId="512D2EC4"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0488A" w14:textId="559F287D" w:rsidR="00775BCA" w:rsidRDefault="00775BCA">
    <w:pPr>
      <w:pStyle w:val="Header"/>
    </w:pPr>
    <w:r>
      <w:rPr>
        <w:noProof/>
      </w:rPr>
      <mc:AlternateContent>
        <mc:Choice Requires="wps">
          <w:drawing>
            <wp:anchor distT="0" distB="0" distL="0" distR="0" simplePos="0" relativeHeight="251658240" behindDoc="0" locked="0" layoutInCell="1" allowOverlap="1" wp14:anchorId="55E1250A" wp14:editId="4F9832BA">
              <wp:simplePos x="635" y="635"/>
              <wp:positionH relativeFrom="page">
                <wp:align>left</wp:align>
              </wp:positionH>
              <wp:positionV relativeFrom="page">
                <wp:align>top</wp:align>
              </wp:positionV>
              <wp:extent cx="1311910" cy="357505"/>
              <wp:effectExtent l="0" t="0" r="2540" b="4445"/>
              <wp:wrapNone/>
              <wp:docPr id="1635456098" name="Text Box 1"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1910" cy="357505"/>
                      </a:xfrm>
                      <a:prstGeom prst="rect">
                        <a:avLst/>
                      </a:prstGeom>
                      <a:noFill/>
                      <a:ln>
                        <a:noFill/>
                      </a:ln>
                    </wps:spPr>
                    <wps:txbx>
                      <w:txbxContent>
                        <w:p w14:paraId="552D62F0" w14:textId="49396E53"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E1250A" id="_x0000_t202" coordsize="21600,21600" o:spt="202" path="m,l,21600r21600,l21600,xe">
              <v:stroke joinstyle="miter"/>
              <v:path gradientshapeok="t" o:connecttype="rect"/>
            </v:shapetype>
            <v:shape id="Text Box 1" o:spid="_x0000_s1028" type="#_x0000_t202" alt="Classified as Internal" style="position:absolute;margin-left:0;margin-top:0;width:103.3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" filled="f" stroked="f">
              <v:fill o:detectmouseclick="t"/>
              <v:textbox style="mso-fit-shape-to-text:t" inset="20pt,15pt,0,0">
                <w:txbxContent>
                  <w:p w14:paraId="552D62F0" w14:textId="49396E53" w:rsidR="00775BCA" w:rsidRPr="00775BCA" w:rsidRDefault="00775BCA" w:rsidP="00775BCA">
                    <w:pPr>
                      <w:spacing w:after="0"/>
                      <w:rPr>
                        <w:rFonts w:ascii="Calibri" w:eastAsia="Calibri" w:hAnsi="Calibri" w:cs="Calibri"/>
                        <w:noProof/>
                        <w:color w:val="000000"/>
                        <w:sz w:val="20"/>
                        <w:szCs w:val="20"/>
                      </w:rPr>
                    </w:pPr>
                    <w:r w:rsidRPr="00775BCA">
                      <w:rPr>
                        <w:rFonts w:ascii="Calibri" w:eastAsia="Calibri" w:hAnsi="Calibri" w:cs="Calibri"/>
                        <w:noProof/>
                        <w:color w:val="000000"/>
                        <w:sz w:val="20"/>
                        <w:szCs w:val="20"/>
                      </w:rPr>
                      <w:t>Classified as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5380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3DF763CE"/>
    <w:multiLevelType w:val="multilevel"/>
    <w:tmpl w:val="20C69D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6E0402A"/>
    <w:multiLevelType w:val="multilevel"/>
    <w:tmpl w:val="39D048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bCs/>
        <w:i w:val="0"/>
        <w:iCs w:val="0"/>
        <w:color w:val="161616" w:themeColor="background2" w:themeShade="1A"/>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5430A20"/>
    <w:multiLevelType w:val="hybridMultilevel"/>
    <w:tmpl w:val="4D7A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430AE"/>
    <w:multiLevelType w:val="multilevel"/>
    <w:tmpl w:val="155CD0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7667B98"/>
    <w:multiLevelType w:val="hybridMultilevel"/>
    <w:tmpl w:val="CE5C45B8"/>
    <w:lvl w:ilvl="0" w:tplc="44561B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C52AB"/>
    <w:multiLevelType w:val="multilevel"/>
    <w:tmpl w:val="155854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254E" w:themeColor="text1" w:themeShade="8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5CF4C09"/>
    <w:multiLevelType w:val="multilevel"/>
    <w:tmpl w:val="FA52DD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6961DEB"/>
    <w:multiLevelType w:val="multilevel"/>
    <w:tmpl w:val="AF78FC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36566242">
    <w:abstractNumId w:val="6"/>
  </w:num>
  <w:num w:numId="2" w16cid:durableId="590040803">
    <w:abstractNumId w:val="5"/>
  </w:num>
  <w:num w:numId="3" w16cid:durableId="488595367">
    <w:abstractNumId w:val="2"/>
  </w:num>
  <w:num w:numId="4" w16cid:durableId="656111526">
    <w:abstractNumId w:val="3"/>
  </w:num>
  <w:num w:numId="5" w16cid:durableId="852063494">
    <w:abstractNumId w:val="1"/>
  </w:num>
  <w:num w:numId="6" w16cid:durableId="767820719">
    <w:abstractNumId w:val="8"/>
  </w:num>
  <w:num w:numId="7" w16cid:durableId="659383258">
    <w:abstractNumId w:val="4"/>
  </w:num>
  <w:num w:numId="8" w16cid:durableId="1337079312">
    <w:abstractNumId w:val="0"/>
  </w:num>
  <w:num w:numId="9" w16cid:durableId="508563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1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ud01OzNkjnEpbP7mreCRlys1D0gTMnwI+jVLqa/nJcx5IYOttvqbndKP+4rIrCb"/>
  </w:docVars>
  <w:rsids>
    <w:rsidRoot w:val="00F15B0F"/>
    <w:rsid w:val="00012ABF"/>
    <w:rsid w:val="00015182"/>
    <w:rsid w:val="0001774F"/>
    <w:rsid w:val="00026803"/>
    <w:rsid w:val="00027744"/>
    <w:rsid w:val="000300AA"/>
    <w:rsid w:val="00031665"/>
    <w:rsid w:val="00052ABB"/>
    <w:rsid w:val="000541C7"/>
    <w:rsid w:val="00061F66"/>
    <w:rsid w:val="00063897"/>
    <w:rsid w:val="0006712D"/>
    <w:rsid w:val="00077AD6"/>
    <w:rsid w:val="00080033"/>
    <w:rsid w:val="00082F3E"/>
    <w:rsid w:val="00090437"/>
    <w:rsid w:val="000936F3"/>
    <w:rsid w:val="000B4A82"/>
    <w:rsid w:val="000B7D67"/>
    <w:rsid w:val="000D2351"/>
    <w:rsid w:val="000E4C29"/>
    <w:rsid w:val="000E5378"/>
    <w:rsid w:val="000F4701"/>
    <w:rsid w:val="000F4CF3"/>
    <w:rsid w:val="00102DD9"/>
    <w:rsid w:val="001171DF"/>
    <w:rsid w:val="001219DB"/>
    <w:rsid w:val="001474F2"/>
    <w:rsid w:val="00151533"/>
    <w:rsid w:val="00151E32"/>
    <w:rsid w:val="00153B7A"/>
    <w:rsid w:val="001630F0"/>
    <w:rsid w:val="00175D88"/>
    <w:rsid w:val="00185EBE"/>
    <w:rsid w:val="00186370"/>
    <w:rsid w:val="0019207F"/>
    <w:rsid w:val="001943DA"/>
    <w:rsid w:val="00196DDE"/>
    <w:rsid w:val="0019740D"/>
    <w:rsid w:val="001A1E12"/>
    <w:rsid w:val="001A3072"/>
    <w:rsid w:val="001A612E"/>
    <w:rsid w:val="001B2C25"/>
    <w:rsid w:val="001B45EF"/>
    <w:rsid w:val="001B7099"/>
    <w:rsid w:val="001B767F"/>
    <w:rsid w:val="001C0F93"/>
    <w:rsid w:val="001C3DF4"/>
    <w:rsid w:val="001C40E7"/>
    <w:rsid w:val="001D3EDD"/>
    <w:rsid w:val="001E3301"/>
    <w:rsid w:val="001E41F1"/>
    <w:rsid w:val="001E7334"/>
    <w:rsid w:val="002011AD"/>
    <w:rsid w:val="002013C0"/>
    <w:rsid w:val="00207291"/>
    <w:rsid w:val="00210D70"/>
    <w:rsid w:val="00230218"/>
    <w:rsid w:val="00233967"/>
    <w:rsid w:val="0023626A"/>
    <w:rsid w:val="00237EAA"/>
    <w:rsid w:val="002448CE"/>
    <w:rsid w:val="002478CA"/>
    <w:rsid w:val="0025160D"/>
    <w:rsid w:val="002523CB"/>
    <w:rsid w:val="002559ED"/>
    <w:rsid w:val="00266E36"/>
    <w:rsid w:val="002704A9"/>
    <w:rsid w:val="00273738"/>
    <w:rsid w:val="00277722"/>
    <w:rsid w:val="002848A8"/>
    <w:rsid w:val="00286E3B"/>
    <w:rsid w:val="00287637"/>
    <w:rsid w:val="00287ADE"/>
    <w:rsid w:val="002A01DA"/>
    <w:rsid w:val="002B01C6"/>
    <w:rsid w:val="002B34FD"/>
    <w:rsid w:val="002C2B19"/>
    <w:rsid w:val="002C7CFB"/>
    <w:rsid w:val="002D076C"/>
    <w:rsid w:val="002D47B5"/>
    <w:rsid w:val="002D4DB1"/>
    <w:rsid w:val="002D4EB5"/>
    <w:rsid w:val="002D5283"/>
    <w:rsid w:val="002E00A2"/>
    <w:rsid w:val="002E61CB"/>
    <w:rsid w:val="002E72BF"/>
    <w:rsid w:val="002F0C95"/>
    <w:rsid w:val="002F27B8"/>
    <w:rsid w:val="002F328C"/>
    <w:rsid w:val="00300DB2"/>
    <w:rsid w:val="003056DD"/>
    <w:rsid w:val="00306B5C"/>
    <w:rsid w:val="00315601"/>
    <w:rsid w:val="00323CF7"/>
    <w:rsid w:val="00325999"/>
    <w:rsid w:val="00327BFD"/>
    <w:rsid w:val="00334AB8"/>
    <w:rsid w:val="00345899"/>
    <w:rsid w:val="003656A3"/>
    <w:rsid w:val="00373532"/>
    <w:rsid w:val="00382DAE"/>
    <w:rsid w:val="0038775E"/>
    <w:rsid w:val="00390490"/>
    <w:rsid w:val="003947B5"/>
    <w:rsid w:val="003C1A5C"/>
    <w:rsid w:val="003C41BD"/>
    <w:rsid w:val="003C573A"/>
    <w:rsid w:val="003D1CAD"/>
    <w:rsid w:val="003D3044"/>
    <w:rsid w:val="003E3034"/>
    <w:rsid w:val="003E5C36"/>
    <w:rsid w:val="003F20F0"/>
    <w:rsid w:val="003F5552"/>
    <w:rsid w:val="00406135"/>
    <w:rsid w:val="00413046"/>
    <w:rsid w:val="00413C50"/>
    <w:rsid w:val="0041454A"/>
    <w:rsid w:val="00415153"/>
    <w:rsid w:val="00422A7D"/>
    <w:rsid w:val="00426232"/>
    <w:rsid w:val="00426C52"/>
    <w:rsid w:val="00437AA6"/>
    <w:rsid w:val="00437E4E"/>
    <w:rsid w:val="0044098B"/>
    <w:rsid w:val="004417BB"/>
    <w:rsid w:val="00456C43"/>
    <w:rsid w:val="00460123"/>
    <w:rsid w:val="004678A7"/>
    <w:rsid w:val="00467D75"/>
    <w:rsid w:val="00475188"/>
    <w:rsid w:val="00477BE2"/>
    <w:rsid w:val="00490B06"/>
    <w:rsid w:val="00490BBD"/>
    <w:rsid w:val="004A73EE"/>
    <w:rsid w:val="004B4ED0"/>
    <w:rsid w:val="004B5E13"/>
    <w:rsid w:val="004B7D8E"/>
    <w:rsid w:val="004C20FA"/>
    <w:rsid w:val="004C6F63"/>
    <w:rsid w:val="004D77C7"/>
    <w:rsid w:val="004E2687"/>
    <w:rsid w:val="004E313C"/>
    <w:rsid w:val="004E5440"/>
    <w:rsid w:val="004E7F51"/>
    <w:rsid w:val="004F0EA8"/>
    <w:rsid w:val="004F3FC3"/>
    <w:rsid w:val="0050787A"/>
    <w:rsid w:val="00517BAB"/>
    <w:rsid w:val="00524674"/>
    <w:rsid w:val="00533504"/>
    <w:rsid w:val="0053784C"/>
    <w:rsid w:val="005438A2"/>
    <w:rsid w:val="00556C41"/>
    <w:rsid w:val="00557D78"/>
    <w:rsid w:val="00561600"/>
    <w:rsid w:val="00564DAA"/>
    <w:rsid w:val="005659EE"/>
    <w:rsid w:val="00567C0D"/>
    <w:rsid w:val="0057430F"/>
    <w:rsid w:val="005973D5"/>
    <w:rsid w:val="0059793A"/>
    <w:rsid w:val="005A28FF"/>
    <w:rsid w:val="005A576A"/>
    <w:rsid w:val="005A5E0C"/>
    <w:rsid w:val="005C0920"/>
    <w:rsid w:val="005C280C"/>
    <w:rsid w:val="005C6598"/>
    <w:rsid w:val="005D0BD5"/>
    <w:rsid w:val="005D299E"/>
    <w:rsid w:val="005D33C7"/>
    <w:rsid w:val="005D7DF3"/>
    <w:rsid w:val="005E518C"/>
    <w:rsid w:val="005F1C4A"/>
    <w:rsid w:val="005F31E7"/>
    <w:rsid w:val="00602890"/>
    <w:rsid w:val="00611812"/>
    <w:rsid w:val="00611FB9"/>
    <w:rsid w:val="00626F14"/>
    <w:rsid w:val="0063231A"/>
    <w:rsid w:val="00634E0D"/>
    <w:rsid w:val="006360F3"/>
    <w:rsid w:val="006403B6"/>
    <w:rsid w:val="00653E95"/>
    <w:rsid w:val="00656A7B"/>
    <w:rsid w:val="00657C02"/>
    <w:rsid w:val="00657D17"/>
    <w:rsid w:val="00657E8E"/>
    <w:rsid w:val="00660E80"/>
    <w:rsid w:val="006639D7"/>
    <w:rsid w:val="00666362"/>
    <w:rsid w:val="00666890"/>
    <w:rsid w:val="006731F8"/>
    <w:rsid w:val="0067599B"/>
    <w:rsid w:val="006852F8"/>
    <w:rsid w:val="00696133"/>
    <w:rsid w:val="006A6DC1"/>
    <w:rsid w:val="006B0EF4"/>
    <w:rsid w:val="006B5C6E"/>
    <w:rsid w:val="006C0678"/>
    <w:rsid w:val="006C10E7"/>
    <w:rsid w:val="006D052B"/>
    <w:rsid w:val="006D12E9"/>
    <w:rsid w:val="006D31CE"/>
    <w:rsid w:val="006D6806"/>
    <w:rsid w:val="006E46AB"/>
    <w:rsid w:val="006E7E53"/>
    <w:rsid w:val="006F0872"/>
    <w:rsid w:val="006F1482"/>
    <w:rsid w:val="007117D1"/>
    <w:rsid w:val="007152D6"/>
    <w:rsid w:val="00724C34"/>
    <w:rsid w:val="00727E14"/>
    <w:rsid w:val="00730793"/>
    <w:rsid w:val="007354A4"/>
    <w:rsid w:val="00744345"/>
    <w:rsid w:val="007463C7"/>
    <w:rsid w:val="007545DB"/>
    <w:rsid w:val="0075488E"/>
    <w:rsid w:val="0075567B"/>
    <w:rsid w:val="0076299D"/>
    <w:rsid w:val="007753AD"/>
    <w:rsid w:val="00775BCA"/>
    <w:rsid w:val="0079088B"/>
    <w:rsid w:val="00797518"/>
    <w:rsid w:val="007A2652"/>
    <w:rsid w:val="007A4BAD"/>
    <w:rsid w:val="007A60DB"/>
    <w:rsid w:val="007A6C06"/>
    <w:rsid w:val="007C06C7"/>
    <w:rsid w:val="007C32B9"/>
    <w:rsid w:val="007C3E32"/>
    <w:rsid w:val="007C783A"/>
    <w:rsid w:val="007D262D"/>
    <w:rsid w:val="007D483B"/>
    <w:rsid w:val="007E6F23"/>
    <w:rsid w:val="00813F4C"/>
    <w:rsid w:val="00814998"/>
    <w:rsid w:val="00822199"/>
    <w:rsid w:val="008242C8"/>
    <w:rsid w:val="008331F2"/>
    <w:rsid w:val="0084046A"/>
    <w:rsid w:val="008565D0"/>
    <w:rsid w:val="0087375E"/>
    <w:rsid w:val="00873EC1"/>
    <w:rsid w:val="008829D9"/>
    <w:rsid w:val="00882DA5"/>
    <w:rsid w:val="00884567"/>
    <w:rsid w:val="00884997"/>
    <w:rsid w:val="0089621C"/>
    <w:rsid w:val="00896FAE"/>
    <w:rsid w:val="00897258"/>
    <w:rsid w:val="008D4F68"/>
    <w:rsid w:val="008E1537"/>
    <w:rsid w:val="008E50D2"/>
    <w:rsid w:val="008F1F96"/>
    <w:rsid w:val="00906ECB"/>
    <w:rsid w:val="00906F54"/>
    <w:rsid w:val="009070DB"/>
    <w:rsid w:val="00914A77"/>
    <w:rsid w:val="009162EA"/>
    <w:rsid w:val="009231B5"/>
    <w:rsid w:val="00933F5C"/>
    <w:rsid w:val="00934DA4"/>
    <w:rsid w:val="00940546"/>
    <w:rsid w:val="00942D6E"/>
    <w:rsid w:val="00944EB3"/>
    <w:rsid w:val="009458CF"/>
    <w:rsid w:val="009474CF"/>
    <w:rsid w:val="00961C61"/>
    <w:rsid w:val="00961DDB"/>
    <w:rsid w:val="0096404E"/>
    <w:rsid w:val="009711B6"/>
    <w:rsid w:val="009801E7"/>
    <w:rsid w:val="00981618"/>
    <w:rsid w:val="00987DED"/>
    <w:rsid w:val="009916DD"/>
    <w:rsid w:val="009A496C"/>
    <w:rsid w:val="009A7B90"/>
    <w:rsid w:val="009A7EA4"/>
    <w:rsid w:val="009B4185"/>
    <w:rsid w:val="009B5A5E"/>
    <w:rsid w:val="009C1DEC"/>
    <w:rsid w:val="009C44DF"/>
    <w:rsid w:val="009D213B"/>
    <w:rsid w:val="009D43B4"/>
    <w:rsid w:val="009D5D1B"/>
    <w:rsid w:val="009E08D2"/>
    <w:rsid w:val="009E38EF"/>
    <w:rsid w:val="009E5225"/>
    <w:rsid w:val="009F265B"/>
    <w:rsid w:val="009F38BC"/>
    <w:rsid w:val="00A00E14"/>
    <w:rsid w:val="00A1021E"/>
    <w:rsid w:val="00A125A9"/>
    <w:rsid w:val="00A2255E"/>
    <w:rsid w:val="00A25606"/>
    <w:rsid w:val="00A3023C"/>
    <w:rsid w:val="00A30412"/>
    <w:rsid w:val="00A317FB"/>
    <w:rsid w:val="00A40E9D"/>
    <w:rsid w:val="00A43049"/>
    <w:rsid w:val="00A50947"/>
    <w:rsid w:val="00A51A34"/>
    <w:rsid w:val="00A56ED5"/>
    <w:rsid w:val="00A601CD"/>
    <w:rsid w:val="00A70D13"/>
    <w:rsid w:val="00A80768"/>
    <w:rsid w:val="00A81EDF"/>
    <w:rsid w:val="00A864C2"/>
    <w:rsid w:val="00AB1CC5"/>
    <w:rsid w:val="00AB5C4F"/>
    <w:rsid w:val="00AC3DC8"/>
    <w:rsid w:val="00AE3E03"/>
    <w:rsid w:val="00AE5479"/>
    <w:rsid w:val="00AE6EAE"/>
    <w:rsid w:val="00AE701F"/>
    <w:rsid w:val="00AF2B00"/>
    <w:rsid w:val="00AF3812"/>
    <w:rsid w:val="00AF3F7D"/>
    <w:rsid w:val="00B01A63"/>
    <w:rsid w:val="00B102DC"/>
    <w:rsid w:val="00B14A18"/>
    <w:rsid w:val="00B14E67"/>
    <w:rsid w:val="00B202DC"/>
    <w:rsid w:val="00B22F69"/>
    <w:rsid w:val="00B239EF"/>
    <w:rsid w:val="00B33E80"/>
    <w:rsid w:val="00B364A3"/>
    <w:rsid w:val="00B45948"/>
    <w:rsid w:val="00B51520"/>
    <w:rsid w:val="00B5544E"/>
    <w:rsid w:val="00B648C6"/>
    <w:rsid w:val="00B830DD"/>
    <w:rsid w:val="00B9586A"/>
    <w:rsid w:val="00BB5878"/>
    <w:rsid w:val="00BB5F0D"/>
    <w:rsid w:val="00BD1A97"/>
    <w:rsid w:val="00BE091A"/>
    <w:rsid w:val="00BE6F18"/>
    <w:rsid w:val="00BF2166"/>
    <w:rsid w:val="00BF38AA"/>
    <w:rsid w:val="00C027A7"/>
    <w:rsid w:val="00C153A1"/>
    <w:rsid w:val="00C179B7"/>
    <w:rsid w:val="00C21524"/>
    <w:rsid w:val="00C24DDA"/>
    <w:rsid w:val="00C2765B"/>
    <w:rsid w:val="00C33500"/>
    <w:rsid w:val="00C4146D"/>
    <w:rsid w:val="00C50263"/>
    <w:rsid w:val="00C543B3"/>
    <w:rsid w:val="00C54507"/>
    <w:rsid w:val="00C75A5A"/>
    <w:rsid w:val="00C824C4"/>
    <w:rsid w:val="00C841C9"/>
    <w:rsid w:val="00C84959"/>
    <w:rsid w:val="00C84F34"/>
    <w:rsid w:val="00C874C4"/>
    <w:rsid w:val="00CA0871"/>
    <w:rsid w:val="00CB26AA"/>
    <w:rsid w:val="00CB5134"/>
    <w:rsid w:val="00CB603E"/>
    <w:rsid w:val="00CB755E"/>
    <w:rsid w:val="00CB7DCE"/>
    <w:rsid w:val="00CC3B41"/>
    <w:rsid w:val="00CC3F08"/>
    <w:rsid w:val="00CC5D43"/>
    <w:rsid w:val="00CC7203"/>
    <w:rsid w:val="00CC757B"/>
    <w:rsid w:val="00CD3644"/>
    <w:rsid w:val="00CD505B"/>
    <w:rsid w:val="00CE3495"/>
    <w:rsid w:val="00CF135C"/>
    <w:rsid w:val="00CF1FA4"/>
    <w:rsid w:val="00CF4045"/>
    <w:rsid w:val="00D03A05"/>
    <w:rsid w:val="00D04549"/>
    <w:rsid w:val="00D07512"/>
    <w:rsid w:val="00D17842"/>
    <w:rsid w:val="00D27AD4"/>
    <w:rsid w:val="00D35F8A"/>
    <w:rsid w:val="00D414FA"/>
    <w:rsid w:val="00D43D3C"/>
    <w:rsid w:val="00D60859"/>
    <w:rsid w:val="00D834C1"/>
    <w:rsid w:val="00D8760B"/>
    <w:rsid w:val="00D8796D"/>
    <w:rsid w:val="00D9020F"/>
    <w:rsid w:val="00DA6237"/>
    <w:rsid w:val="00DB4023"/>
    <w:rsid w:val="00DB7CC9"/>
    <w:rsid w:val="00DC2337"/>
    <w:rsid w:val="00DC419E"/>
    <w:rsid w:val="00DC46E2"/>
    <w:rsid w:val="00DE2D4B"/>
    <w:rsid w:val="00E00133"/>
    <w:rsid w:val="00E03D12"/>
    <w:rsid w:val="00E101D9"/>
    <w:rsid w:val="00E139AC"/>
    <w:rsid w:val="00E16EBC"/>
    <w:rsid w:val="00E171FF"/>
    <w:rsid w:val="00E33C3B"/>
    <w:rsid w:val="00E34E1F"/>
    <w:rsid w:val="00E378CB"/>
    <w:rsid w:val="00E46BE7"/>
    <w:rsid w:val="00E5190A"/>
    <w:rsid w:val="00E56485"/>
    <w:rsid w:val="00E6251D"/>
    <w:rsid w:val="00E6281C"/>
    <w:rsid w:val="00E66B55"/>
    <w:rsid w:val="00E74775"/>
    <w:rsid w:val="00E82A3C"/>
    <w:rsid w:val="00E84FEA"/>
    <w:rsid w:val="00E85887"/>
    <w:rsid w:val="00E85E7B"/>
    <w:rsid w:val="00E9013B"/>
    <w:rsid w:val="00E952E9"/>
    <w:rsid w:val="00EA138A"/>
    <w:rsid w:val="00EA2176"/>
    <w:rsid w:val="00EA2608"/>
    <w:rsid w:val="00EB0BFF"/>
    <w:rsid w:val="00EB0E19"/>
    <w:rsid w:val="00EB2065"/>
    <w:rsid w:val="00EB34DF"/>
    <w:rsid w:val="00EB60CB"/>
    <w:rsid w:val="00EB6C87"/>
    <w:rsid w:val="00EC5D5B"/>
    <w:rsid w:val="00ED2770"/>
    <w:rsid w:val="00ED4EE0"/>
    <w:rsid w:val="00ED5C9C"/>
    <w:rsid w:val="00EE048B"/>
    <w:rsid w:val="00EE56CF"/>
    <w:rsid w:val="00EE58D6"/>
    <w:rsid w:val="00EE61FE"/>
    <w:rsid w:val="00F00CA8"/>
    <w:rsid w:val="00F14CE1"/>
    <w:rsid w:val="00F1538C"/>
    <w:rsid w:val="00F15670"/>
    <w:rsid w:val="00F15B0F"/>
    <w:rsid w:val="00F21D3C"/>
    <w:rsid w:val="00F24438"/>
    <w:rsid w:val="00F275E2"/>
    <w:rsid w:val="00F40FE4"/>
    <w:rsid w:val="00F50151"/>
    <w:rsid w:val="00F5255F"/>
    <w:rsid w:val="00F6065B"/>
    <w:rsid w:val="00F679A4"/>
    <w:rsid w:val="00F7255D"/>
    <w:rsid w:val="00F74909"/>
    <w:rsid w:val="00F851A4"/>
    <w:rsid w:val="00F906CC"/>
    <w:rsid w:val="00FA2B75"/>
    <w:rsid w:val="00FA5BC0"/>
    <w:rsid w:val="00FA73B1"/>
    <w:rsid w:val="00FA73BA"/>
    <w:rsid w:val="00FB38E8"/>
    <w:rsid w:val="00FC11A6"/>
    <w:rsid w:val="00FC5701"/>
    <w:rsid w:val="00FC5B33"/>
    <w:rsid w:val="00FE42B6"/>
    <w:rsid w:val="00FE7183"/>
    <w:rsid w:val="00FF3DF2"/>
    <w:rsid w:val="287C8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B8062"/>
  <w15:chartTrackingRefBased/>
  <w15:docId w15:val="{B7544E8B-49A0-4137-A710-EC9C7343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D5"/>
    <w:rPr>
      <w:sz w:val="24"/>
      <w:szCs w:val="24"/>
    </w:rPr>
  </w:style>
  <w:style w:type="paragraph" w:styleId="Heading1">
    <w:name w:val="heading 1"/>
    <w:basedOn w:val="Normal"/>
    <w:next w:val="Normal"/>
    <w:link w:val="Heading1Char"/>
    <w:uiPriority w:val="9"/>
    <w:qFormat/>
    <w:rsid w:val="00AB5C4F"/>
    <w:pPr>
      <w:keepNext/>
      <w:keepLines/>
      <w:numPr>
        <w:numId w:val="9"/>
      </w:numPr>
      <w:spacing w:before="240" w:after="120"/>
      <w:ind w:left="431" w:hanging="431"/>
      <w:outlineLvl w:val="0"/>
    </w:pPr>
    <w:rPr>
      <w:rFonts w:asciiTheme="majorHAnsi" w:eastAsiaTheme="majorEastAsia" w:hAnsiTheme="majorHAnsi" w:cstheme="majorBidi"/>
      <w:b/>
      <w:bCs/>
      <w:color w:val="004B9C" w:themeColor="text1"/>
      <w:sz w:val="36"/>
      <w:szCs w:val="36"/>
    </w:rPr>
  </w:style>
  <w:style w:type="paragraph" w:styleId="Heading2">
    <w:name w:val="heading 2"/>
    <w:basedOn w:val="Normal"/>
    <w:next w:val="Normal"/>
    <w:link w:val="Heading2Char"/>
    <w:uiPriority w:val="9"/>
    <w:unhideWhenUsed/>
    <w:qFormat/>
    <w:rsid w:val="00AB5C4F"/>
    <w:pPr>
      <w:keepNext/>
      <w:keepLines/>
      <w:numPr>
        <w:ilvl w:val="1"/>
        <w:numId w:val="9"/>
      </w:numPr>
      <w:spacing w:before="120" w:after="120"/>
      <w:ind w:left="578" w:hanging="578"/>
      <w:outlineLvl w:val="1"/>
    </w:pPr>
    <w:rPr>
      <w:rFonts w:asciiTheme="majorHAnsi" w:eastAsiaTheme="majorEastAsia" w:hAnsiTheme="majorHAnsi" w:cstheme="majorBidi"/>
      <w:b/>
      <w:bCs/>
      <w:color w:val="161616" w:themeColor="background2" w:themeShade="1A"/>
      <w:sz w:val="32"/>
      <w:szCs w:val="32"/>
    </w:rPr>
  </w:style>
  <w:style w:type="paragraph" w:styleId="Heading3">
    <w:name w:val="heading 3"/>
    <w:basedOn w:val="Normal"/>
    <w:next w:val="Normal"/>
    <w:link w:val="Heading3Char"/>
    <w:uiPriority w:val="9"/>
    <w:unhideWhenUsed/>
    <w:qFormat/>
    <w:rsid w:val="00AB5C4F"/>
    <w:pPr>
      <w:keepNext/>
      <w:keepLines/>
      <w:numPr>
        <w:ilvl w:val="2"/>
        <w:numId w:val="9"/>
      </w:numPr>
      <w:spacing w:before="80" w:after="80"/>
      <w:outlineLvl w:val="2"/>
    </w:pPr>
    <w:rPr>
      <w:rFonts w:ascii="Arial" w:eastAsiaTheme="majorEastAsia" w:hAnsi="Arial" w:cs="Arial"/>
      <w:b/>
      <w:bCs/>
      <w:color w:val="004B9C" w:themeColor="text1"/>
      <w:sz w:val="28"/>
      <w:szCs w:val="28"/>
    </w:rPr>
  </w:style>
  <w:style w:type="paragraph" w:styleId="Heading4">
    <w:name w:val="heading 4"/>
    <w:basedOn w:val="Normal"/>
    <w:next w:val="Normal"/>
    <w:link w:val="Heading4Char"/>
    <w:uiPriority w:val="9"/>
    <w:unhideWhenUsed/>
    <w:qFormat/>
    <w:rsid w:val="00AB5C4F"/>
    <w:pPr>
      <w:keepNext/>
      <w:keepLines/>
      <w:numPr>
        <w:ilvl w:val="3"/>
        <w:numId w:val="9"/>
      </w:numPr>
      <w:spacing w:before="80" w:after="80"/>
      <w:ind w:left="862" w:hanging="862"/>
      <w:outlineLvl w:val="3"/>
    </w:pPr>
    <w:rPr>
      <w:rFonts w:asciiTheme="majorHAnsi" w:eastAsiaTheme="majorEastAsia" w:hAnsiTheme="majorHAnsi" w:cstheme="majorBidi"/>
      <w:b/>
      <w:bCs/>
      <w:color w:val="161616" w:themeColor="background2" w:themeShade="1A"/>
    </w:rPr>
  </w:style>
  <w:style w:type="paragraph" w:styleId="Heading5">
    <w:name w:val="heading 5"/>
    <w:basedOn w:val="Normal"/>
    <w:next w:val="Normal"/>
    <w:link w:val="Heading5Char"/>
    <w:uiPriority w:val="9"/>
    <w:unhideWhenUsed/>
    <w:qFormat/>
    <w:rsid w:val="00AB5C4F"/>
    <w:pPr>
      <w:numPr>
        <w:ilvl w:val="4"/>
        <w:numId w:val="9"/>
      </w:numPr>
      <w:spacing w:before="80" w:after="80"/>
      <w:ind w:left="1009" w:hanging="1009"/>
      <w:outlineLvl w:val="4"/>
    </w:pPr>
    <w:rPr>
      <w:b/>
      <w:bCs/>
      <w:color w:val="004B9C" w:themeColor="text1"/>
      <w:sz w:val="22"/>
    </w:rPr>
  </w:style>
  <w:style w:type="paragraph" w:styleId="Heading6">
    <w:name w:val="heading 6"/>
    <w:basedOn w:val="Normal"/>
    <w:next w:val="Normal"/>
    <w:link w:val="Heading6Char"/>
    <w:uiPriority w:val="9"/>
    <w:semiHidden/>
    <w:unhideWhenUsed/>
    <w:qFormat/>
    <w:rsid w:val="00315601"/>
    <w:pPr>
      <w:keepNext/>
      <w:keepLines/>
      <w:numPr>
        <w:ilvl w:val="5"/>
        <w:numId w:val="9"/>
      </w:numPr>
      <w:spacing w:before="40" w:after="0"/>
      <w:outlineLvl w:val="5"/>
    </w:pPr>
    <w:rPr>
      <w:rFonts w:asciiTheme="majorHAnsi" w:eastAsiaTheme="majorEastAsia" w:hAnsiTheme="majorHAnsi" w:cstheme="majorBidi"/>
      <w:color w:val="2B6969" w:themeColor="accent1" w:themeShade="7F"/>
    </w:rPr>
  </w:style>
  <w:style w:type="paragraph" w:styleId="Heading7">
    <w:name w:val="heading 7"/>
    <w:basedOn w:val="Normal"/>
    <w:next w:val="Normal"/>
    <w:link w:val="Heading7Char"/>
    <w:uiPriority w:val="9"/>
    <w:semiHidden/>
    <w:unhideWhenUsed/>
    <w:qFormat/>
    <w:rsid w:val="00315601"/>
    <w:pPr>
      <w:keepNext/>
      <w:keepLines/>
      <w:numPr>
        <w:ilvl w:val="6"/>
        <w:numId w:val="9"/>
      </w:numPr>
      <w:spacing w:before="40" w:after="0"/>
      <w:outlineLvl w:val="6"/>
    </w:pPr>
    <w:rPr>
      <w:rFonts w:asciiTheme="majorHAnsi" w:eastAsiaTheme="majorEastAsia" w:hAnsiTheme="majorHAnsi" w:cstheme="majorBidi"/>
      <w:i/>
      <w:iCs/>
      <w:color w:val="2B6969" w:themeColor="accent1" w:themeShade="7F"/>
    </w:rPr>
  </w:style>
  <w:style w:type="paragraph" w:styleId="Heading8">
    <w:name w:val="heading 8"/>
    <w:basedOn w:val="Normal"/>
    <w:next w:val="Normal"/>
    <w:link w:val="Heading8Char"/>
    <w:uiPriority w:val="9"/>
    <w:semiHidden/>
    <w:unhideWhenUsed/>
    <w:qFormat/>
    <w:rsid w:val="00315601"/>
    <w:pPr>
      <w:keepNext/>
      <w:keepLines/>
      <w:numPr>
        <w:ilvl w:val="7"/>
        <w:numId w:val="9"/>
      </w:numPr>
      <w:spacing w:before="40" w:after="0"/>
      <w:outlineLvl w:val="7"/>
    </w:pPr>
    <w:rPr>
      <w:rFonts w:asciiTheme="majorHAnsi" w:eastAsiaTheme="majorEastAsia" w:hAnsiTheme="majorHAnsi" w:cstheme="majorBidi"/>
      <w:color w:val="0064D2" w:themeColor="text1" w:themeTint="D8"/>
      <w:sz w:val="21"/>
      <w:szCs w:val="21"/>
    </w:rPr>
  </w:style>
  <w:style w:type="paragraph" w:styleId="Heading9">
    <w:name w:val="heading 9"/>
    <w:basedOn w:val="Normal"/>
    <w:next w:val="Normal"/>
    <w:link w:val="Heading9Char"/>
    <w:uiPriority w:val="9"/>
    <w:semiHidden/>
    <w:unhideWhenUsed/>
    <w:qFormat/>
    <w:rsid w:val="00315601"/>
    <w:pPr>
      <w:keepNext/>
      <w:keepLines/>
      <w:numPr>
        <w:ilvl w:val="8"/>
        <w:numId w:val="9"/>
      </w:numPr>
      <w:spacing w:before="40" w:after="0"/>
      <w:outlineLvl w:val="8"/>
    </w:pPr>
    <w:rPr>
      <w:rFonts w:asciiTheme="majorHAnsi" w:eastAsiaTheme="majorEastAsia" w:hAnsiTheme="majorHAnsi" w:cstheme="majorBidi"/>
      <w:i/>
      <w:iCs/>
      <w:color w:val="0064D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C4F"/>
    <w:rPr>
      <w:rFonts w:ascii="Arial" w:eastAsiaTheme="majorEastAsia" w:hAnsi="Arial" w:cs="Arial"/>
      <w:b/>
      <w:bCs/>
      <w:color w:val="004B9C" w:themeColor="text1"/>
      <w:sz w:val="28"/>
      <w:szCs w:val="28"/>
    </w:rPr>
  </w:style>
  <w:style w:type="paragraph" w:styleId="Header">
    <w:name w:val="header"/>
    <w:basedOn w:val="Normal"/>
    <w:link w:val="HeaderChar"/>
    <w:uiPriority w:val="99"/>
    <w:unhideWhenUsed/>
    <w:rsid w:val="00AB1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C5"/>
  </w:style>
  <w:style w:type="paragraph" w:styleId="Footer">
    <w:name w:val="footer"/>
    <w:basedOn w:val="Normal"/>
    <w:link w:val="FooterChar"/>
    <w:uiPriority w:val="99"/>
    <w:unhideWhenUsed/>
    <w:rsid w:val="00AB1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C5"/>
  </w:style>
  <w:style w:type="character" w:customStyle="1" w:styleId="Heading1Char">
    <w:name w:val="Heading 1 Char"/>
    <w:basedOn w:val="DefaultParagraphFont"/>
    <w:link w:val="Heading1"/>
    <w:uiPriority w:val="9"/>
    <w:rsid w:val="00AB5C4F"/>
    <w:rPr>
      <w:rFonts w:asciiTheme="majorHAnsi" w:eastAsiaTheme="majorEastAsia" w:hAnsiTheme="majorHAnsi" w:cstheme="majorBidi"/>
      <w:b/>
      <w:bCs/>
      <w:color w:val="004B9C" w:themeColor="text1"/>
      <w:sz w:val="36"/>
      <w:szCs w:val="36"/>
    </w:rPr>
  </w:style>
  <w:style w:type="paragraph" w:styleId="ListParagraph">
    <w:name w:val="List Paragraph"/>
    <w:basedOn w:val="Normal"/>
    <w:uiPriority w:val="34"/>
    <w:qFormat/>
    <w:rsid w:val="00F7255D"/>
    <w:pPr>
      <w:ind w:left="720"/>
      <w:contextualSpacing/>
    </w:pPr>
  </w:style>
  <w:style w:type="character" w:customStyle="1" w:styleId="Heading2Char">
    <w:name w:val="Heading 2 Char"/>
    <w:basedOn w:val="DefaultParagraphFont"/>
    <w:link w:val="Heading2"/>
    <w:uiPriority w:val="9"/>
    <w:rsid w:val="00AB5C4F"/>
    <w:rPr>
      <w:rFonts w:asciiTheme="majorHAnsi" w:eastAsiaTheme="majorEastAsia" w:hAnsiTheme="majorHAnsi" w:cstheme="majorBidi"/>
      <w:b/>
      <w:bCs/>
      <w:color w:val="161616" w:themeColor="background2" w:themeShade="1A"/>
      <w:sz w:val="32"/>
      <w:szCs w:val="32"/>
    </w:rPr>
  </w:style>
  <w:style w:type="character" w:customStyle="1" w:styleId="Heading4Char">
    <w:name w:val="Heading 4 Char"/>
    <w:basedOn w:val="DefaultParagraphFont"/>
    <w:link w:val="Heading4"/>
    <w:uiPriority w:val="9"/>
    <w:rsid w:val="00AB5C4F"/>
    <w:rPr>
      <w:rFonts w:asciiTheme="majorHAnsi" w:eastAsiaTheme="majorEastAsia" w:hAnsiTheme="majorHAnsi" w:cstheme="majorBidi"/>
      <w:b/>
      <w:bCs/>
      <w:color w:val="161616" w:themeColor="background2" w:themeShade="1A"/>
      <w:sz w:val="24"/>
      <w:szCs w:val="24"/>
    </w:rPr>
  </w:style>
  <w:style w:type="character" w:customStyle="1" w:styleId="Heading5Char">
    <w:name w:val="Heading 5 Char"/>
    <w:basedOn w:val="DefaultParagraphFont"/>
    <w:link w:val="Heading5"/>
    <w:uiPriority w:val="9"/>
    <w:rsid w:val="00AB5C4F"/>
    <w:rPr>
      <w:b/>
      <w:bCs/>
      <w:color w:val="004B9C" w:themeColor="text1"/>
      <w:szCs w:val="24"/>
    </w:rPr>
  </w:style>
  <w:style w:type="character" w:customStyle="1" w:styleId="Heading6Char">
    <w:name w:val="Heading 6 Char"/>
    <w:basedOn w:val="DefaultParagraphFont"/>
    <w:link w:val="Heading6"/>
    <w:uiPriority w:val="9"/>
    <w:semiHidden/>
    <w:rsid w:val="00315601"/>
    <w:rPr>
      <w:rFonts w:asciiTheme="majorHAnsi" w:eastAsiaTheme="majorEastAsia" w:hAnsiTheme="majorHAnsi" w:cstheme="majorBidi"/>
      <w:color w:val="2B6969" w:themeColor="accent1" w:themeShade="7F"/>
    </w:rPr>
  </w:style>
  <w:style w:type="character" w:customStyle="1" w:styleId="Heading7Char">
    <w:name w:val="Heading 7 Char"/>
    <w:basedOn w:val="DefaultParagraphFont"/>
    <w:link w:val="Heading7"/>
    <w:uiPriority w:val="9"/>
    <w:semiHidden/>
    <w:rsid w:val="00315601"/>
    <w:rPr>
      <w:rFonts w:asciiTheme="majorHAnsi" w:eastAsiaTheme="majorEastAsia" w:hAnsiTheme="majorHAnsi" w:cstheme="majorBidi"/>
      <w:i/>
      <w:iCs/>
      <w:color w:val="2B6969" w:themeColor="accent1" w:themeShade="7F"/>
    </w:rPr>
  </w:style>
  <w:style w:type="character" w:customStyle="1" w:styleId="Heading8Char">
    <w:name w:val="Heading 8 Char"/>
    <w:basedOn w:val="DefaultParagraphFont"/>
    <w:link w:val="Heading8"/>
    <w:uiPriority w:val="9"/>
    <w:semiHidden/>
    <w:rsid w:val="00315601"/>
    <w:rPr>
      <w:rFonts w:asciiTheme="majorHAnsi" w:eastAsiaTheme="majorEastAsia" w:hAnsiTheme="majorHAnsi" w:cstheme="majorBidi"/>
      <w:color w:val="0064D2" w:themeColor="text1" w:themeTint="D8"/>
      <w:sz w:val="21"/>
      <w:szCs w:val="21"/>
    </w:rPr>
  </w:style>
  <w:style w:type="character" w:customStyle="1" w:styleId="Heading9Char">
    <w:name w:val="Heading 9 Char"/>
    <w:basedOn w:val="DefaultParagraphFont"/>
    <w:link w:val="Heading9"/>
    <w:uiPriority w:val="9"/>
    <w:semiHidden/>
    <w:rsid w:val="00315601"/>
    <w:rPr>
      <w:rFonts w:asciiTheme="majorHAnsi" w:eastAsiaTheme="majorEastAsia" w:hAnsiTheme="majorHAnsi" w:cstheme="majorBidi"/>
      <w:i/>
      <w:iCs/>
      <w:color w:val="0064D2" w:themeColor="text1" w:themeTint="D8"/>
      <w:sz w:val="21"/>
      <w:szCs w:val="21"/>
    </w:rPr>
  </w:style>
  <w:style w:type="paragraph" w:styleId="Title">
    <w:name w:val="Title"/>
    <w:basedOn w:val="Normal"/>
    <w:next w:val="Subtitle"/>
    <w:link w:val="TitleChar"/>
    <w:uiPriority w:val="10"/>
    <w:qFormat/>
    <w:rsid w:val="00B14E67"/>
    <w:pPr>
      <w:spacing w:before="240" w:after="240"/>
      <w:jc w:val="center"/>
    </w:pPr>
    <w:rPr>
      <w:b/>
      <w:bCs/>
      <w:color w:val="004B9C" w:themeColor="text1"/>
      <w:sz w:val="52"/>
      <w:szCs w:val="52"/>
    </w:rPr>
  </w:style>
  <w:style w:type="character" w:customStyle="1" w:styleId="TitleChar">
    <w:name w:val="Title Char"/>
    <w:basedOn w:val="DefaultParagraphFont"/>
    <w:link w:val="Title"/>
    <w:uiPriority w:val="10"/>
    <w:rsid w:val="00B14E67"/>
    <w:rPr>
      <w:b/>
      <w:bCs/>
      <w:color w:val="004B9C" w:themeColor="text1"/>
      <w:sz w:val="52"/>
      <w:szCs w:val="52"/>
    </w:rPr>
  </w:style>
  <w:style w:type="character" w:styleId="Hyperlink">
    <w:name w:val="Hyperlink"/>
    <w:basedOn w:val="DefaultParagraphFont"/>
    <w:uiPriority w:val="99"/>
    <w:unhideWhenUsed/>
    <w:rsid w:val="001171DF"/>
    <w:rPr>
      <w:color w:val="0000FF"/>
      <w:u w:val="single"/>
    </w:rPr>
  </w:style>
  <w:style w:type="character" w:styleId="UnresolvedMention">
    <w:name w:val="Unresolved Mention"/>
    <w:basedOn w:val="DefaultParagraphFont"/>
    <w:uiPriority w:val="99"/>
    <w:semiHidden/>
    <w:unhideWhenUsed/>
    <w:rsid w:val="00ED5C9C"/>
    <w:rPr>
      <w:color w:val="605E5C"/>
      <w:shd w:val="clear" w:color="auto" w:fill="E1DFDD"/>
    </w:rPr>
  </w:style>
  <w:style w:type="table" w:styleId="TableGrid">
    <w:name w:val="Table Grid"/>
    <w:basedOn w:val="TableNormal"/>
    <w:uiPriority w:val="39"/>
    <w:rsid w:val="00ED2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A30412"/>
    <w:pPr>
      <w:spacing w:after="0" w:line="240" w:lineRule="auto"/>
    </w:pPr>
    <w:tblPr>
      <w:tblStyleRowBandSize w:val="1"/>
      <w:tblStyleColBandSize w:val="1"/>
      <w:tblBorders>
        <w:top w:val="single" w:sz="4" w:space="0" w:color="70C8DC" w:themeColor="accent2" w:themeTint="99"/>
        <w:left w:val="single" w:sz="4" w:space="0" w:color="70C8DC" w:themeColor="accent2" w:themeTint="99"/>
        <w:bottom w:val="single" w:sz="4" w:space="0" w:color="70C8DC" w:themeColor="accent2" w:themeTint="99"/>
        <w:right w:val="single" w:sz="4" w:space="0" w:color="70C8DC" w:themeColor="accent2" w:themeTint="99"/>
        <w:insideH w:val="single" w:sz="4" w:space="0" w:color="70C8DC" w:themeColor="accent2" w:themeTint="99"/>
        <w:insideV w:val="single" w:sz="4" w:space="0" w:color="70C8DC" w:themeColor="accent2" w:themeTint="99"/>
      </w:tblBorders>
    </w:tblPr>
    <w:tblStylePr w:type="firstRow">
      <w:rPr>
        <w:b/>
        <w:bCs/>
        <w:color w:val="FFFFFF" w:themeColor="background1"/>
      </w:rPr>
      <w:tblPr/>
      <w:tcPr>
        <w:tcBorders>
          <w:top w:val="single" w:sz="4" w:space="0" w:color="2A95AC" w:themeColor="accent2"/>
          <w:left w:val="single" w:sz="4" w:space="0" w:color="2A95AC" w:themeColor="accent2"/>
          <w:bottom w:val="single" w:sz="4" w:space="0" w:color="2A95AC" w:themeColor="accent2"/>
          <w:right w:val="single" w:sz="4" w:space="0" w:color="2A95AC" w:themeColor="accent2"/>
          <w:insideH w:val="nil"/>
          <w:insideV w:val="nil"/>
        </w:tcBorders>
        <w:shd w:val="clear" w:color="auto" w:fill="2A95AC" w:themeFill="accent2"/>
      </w:tcPr>
    </w:tblStylePr>
    <w:tblStylePr w:type="lastRow">
      <w:rPr>
        <w:b/>
        <w:bCs/>
      </w:rPr>
      <w:tblPr/>
      <w:tcPr>
        <w:tcBorders>
          <w:top w:val="double" w:sz="4" w:space="0" w:color="2A95AC" w:themeColor="accent2"/>
        </w:tcBorders>
      </w:tcPr>
    </w:tblStylePr>
    <w:tblStylePr w:type="firstCol">
      <w:rPr>
        <w:b/>
        <w:bCs/>
      </w:rPr>
    </w:tblStylePr>
    <w:tblStylePr w:type="lastCol">
      <w:rPr>
        <w:b/>
        <w:bCs/>
      </w:rPr>
    </w:tblStylePr>
    <w:tblStylePr w:type="band1Vert">
      <w:tblPr/>
      <w:tcPr>
        <w:shd w:val="clear" w:color="auto" w:fill="CFECF3" w:themeFill="accent2" w:themeFillTint="33"/>
      </w:tcPr>
    </w:tblStylePr>
    <w:tblStylePr w:type="band1Horz">
      <w:tblPr/>
      <w:tcPr>
        <w:shd w:val="clear" w:color="auto" w:fill="CFECF3" w:themeFill="accent2" w:themeFillTint="33"/>
      </w:tcPr>
    </w:tblStylePr>
  </w:style>
  <w:style w:type="table" w:styleId="GridTable5Dark-Accent1">
    <w:name w:val="Grid Table 5 Dark Accent 1"/>
    <w:basedOn w:val="TableNormal"/>
    <w:uiPriority w:val="50"/>
    <w:rsid w:val="00EB3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2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C2C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C2C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C2C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C2C1" w:themeFill="accent1"/>
      </w:tcPr>
    </w:tblStylePr>
    <w:tblStylePr w:type="band1Vert">
      <w:tblPr/>
      <w:tcPr>
        <w:shd w:val="clear" w:color="auto" w:fill="C3E6E6" w:themeFill="accent1" w:themeFillTint="66"/>
      </w:tcPr>
    </w:tblStylePr>
    <w:tblStylePr w:type="band1Horz">
      <w:tblPr/>
      <w:tcPr>
        <w:shd w:val="clear" w:color="auto" w:fill="C3E6E6" w:themeFill="accent1" w:themeFillTint="66"/>
      </w:tcPr>
    </w:tblStylePr>
  </w:style>
  <w:style w:type="table" w:styleId="GridTable5Dark-Accent2">
    <w:name w:val="Grid Table 5 Dark Accent 2"/>
    <w:basedOn w:val="TableNormal"/>
    <w:uiPriority w:val="50"/>
    <w:rsid w:val="00EB3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95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95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95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95AC" w:themeFill="accent2"/>
      </w:tcPr>
    </w:tblStylePr>
    <w:tblStylePr w:type="band1Vert">
      <w:tblPr/>
      <w:tcPr>
        <w:shd w:val="clear" w:color="auto" w:fill="9FDAE7" w:themeFill="accent2" w:themeFillTint="66"/>
      </w:tcPr>
    </w:tblStylePr>
    <w:tblStylePr w:type="band1Horz">
      <w:tblPr/>
      <w:tcPr>
        <w:shd w:val="clear" w:color="auto" w:fill="9FDAE7" w:themeFill="accent2" w:themeFillTint="66"/>
      </w:tcPr>
    </w:tblStylePr>
  </w:style>
  <w:style w:type="paragraph" w:customStyle="1" w:styleId="DateStampHeader">
    <w:name w:val="DateStamp Header"/>
    <w:basedOn w:val="Normal"/>
    <w:next w:val="Title"/>
    <w:link w:val="DateStampHeaderChar"/>
    <w:qFormat/>
    <w:rsid w:val="001219DB"/>
    <w:pPr>
      <w:ind w:left="-142"/>
    </w:pPr>
    <w:rPr>
      <w:sz w:val="18"/>
      <w:szCs w:val="18"/>
    </w:rPr>
  </w:style>
  <w:style w:type="character" w:styleId="BookTitle">
    <w:name w:val="Book Title"/>
    <w:uiPriority w:val="33"/>
    <w:qFormat/>
    <w:rsid w:val="00F40FE4"/>
    <w:rPr>
      <w:rFonts w:asciiTheme="majorHAnsi" w:hAnsiTheme="majorHAnsi"/>
      <w:color w:val="004B9C" w:themeColor="text1"/>
      <w:sz w:val="96"/>
      <w:szCs w:val="96"/>
    </w:rPr>
  </w:style>
  <w:style w:type="character" w:customStyle="1" w:styleId="DateStampHeaderChar">
    <w:name w:val="DateStamp Header Char"/>
    <w:basedOn w:val="DefaultParagraphFont"/>
    <w:link w:val="DateStampHeader"/>
    <w:rsid w:val="001219DB"/>
    <w:rPr>
      <w:sz w:val="18"/>
      <w:szCs w:val="18"/>
    </w:rPr>
  </w:style>
  <w:style w:type="table" w:styleId="GridTable5Dark">
    <w:name w:val="Grid Table 5 Dark"/>
    <w:basedOn w:val="TableNormal"/>
    <w:uiPriority w:val="50"/>
    <w:rsid w:val="008404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9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9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9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9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9C" w:themeFill="text1"/>
      </w:tcPr>
    </w:tblStylePr>
    <w:tblStylePr w:type="band1Vert">
      <w:tblPr/>
      <w:tcPr>
        <w:shd w:val="clear" w:color="auto" w:fill="71B5FF" w:themeFill="text1" w:themeFillTint="66"/>
      </w:tcPr>
    </w:tblStylePr>
    <w:tblStylePr w:type="band1Horz">
      <w:tblPr/>
      <w:tcPr>
        <w:shd w:val="clear" w:color="auto" w:fill="71B5FF" w:themeFill="text1" w:themeFillTint="66"/>
      </w:tcPr>
    </w:tblStylePr>
  </w:style>
  <w:style w:type="table" w:styleId="GridTable5Dark-Accent3">
    <w:name w:val="Grid Table 5 Dark Accent 3"/>
    <w:basedOn w:val="TableNormal"/>
    <w:uiPriority w:val="50"/>
    <w:rsid w:val="007307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F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62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62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62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6299" w:themeFill="accent3"/>
      </w:tcPr>
    </w:tblStylePr>
    <w:tblStylePr w:type="band1Vert">
      <w:tblPr/>
      <w:tcPr>
        <w:shd w:val="clear" w:color="auto" w:fill="EBC0D6" w:themeFill="accent3" w:themeFillTint="66"/>
      </w:tcPr>
    </w:tblStylePr>
    <w:tblStylePr w:type="band1Horz">
      <w:tblPr/>
      <w:tcPr>
        <w:shd w:val="clear" w:color="auto" w:fill="EBC0D6" w:themeFill="accent3" w:themeFillTint="66"/>
      </w:tcPr>
    </w:tblStylePr>
  </w:style>
  <w:style w:type="paragraph" w:styleId="Subtitle">
    <w:name w:val="Subtitle"/>
    <w:basedOn w:val="Normal"/>
    <w:next w:val="VersionDate"/>
    <w:link w:val="SubtitleChar"/>
    <w:uiPriority w:val="11"/>
    <w:qFormat/>
    <w:rsid w:val="00B14E67"/>
    <w:pPr>
      <w:spacing w:before="240" w:after="400"/>
      <w:jc w:val="center"/>
    </w:pPr>
    <w:rPr>
      <w:b/>
      <w:bCs/>
      <w:color w:val="161616" w:themeColor="background2" w:themeShade="1A"/>
      <w:sz w:val="40"/>
      <w:szCs w:val="36"/>
    </w:rPr>
  </w:style>
  <w:style w:type="character" w:customStyle="1" w:styleId="SubtitleChar">
    <w:name w:val="Subtitle Char"/>
    <w:basedOn w:val="DefaultParagraphFont"/>
    <w:link w:val="Subtitle"/>
    <w:uiPriority w:val="11"/>
    <w:rsid w:val="00B14E67"/>
    <w:rPr>
      <w:b/>
      <w:bCs/>
      <w:color w:val="161616" w:themeColor="background2" w:themeShade="1A"/>
      <w:sz w:val="40"/>
      <w:szCs w:val="36"/>
    </w:rPr>
  </w:style>
  <w:style w:type="character" w:styleId="SubtleEmphasis">
    <w:name w:val="Subtle Emphasis"/>
    <w:uiPriority w:val="19"/>
    <w:qFormat/>
    <w:rsid w:val="00E16EBC"/>
    <w:rPr>
      <w:i/>
      <w:iCs/>
      <w:color w:val="004B9C" w:themeColor="text1"/>
    </w:rPr>
  </w:style>
  <w:style w:type="character" w:styleId="Strong">
    <w:name w:val="Strong"/>
    <w:basedOn w:val="SubtleEmphasis"/>
    <w:uiPriority w:val="22"/>
    <w:qFormat/>
    <w:rsid w:val="00061F66"/>
    <w:rPr>
      <w:b/>
      <w:bCs/>
      <w:i/>
      <w:iCs/>
      <w:color w:val="004B9C" w:themeColor="text1"/>
      <w:sz w:val="24"/>
      <w:szCs w:val="24"/>
    </w:rPr>
  </w:style>
  <w:style w:type="character" w:styleId="Emphasis">
    <w:name w:val="Emphasis"/>
    <w:basedOn w:val="SubtleEmphasis"/>
    <w:uiPriority w:val="20"/>
    <w:qFormat/>
    <w:rsid w:val="000E4C29"/>
    <w:rPr>
      <w:b/>
      <w:bCs/>
      <w:i/>
      <w:iCs/>
      <w:color w:val="161616" w:themeColor="background2" w:themeShade="1A"/>
    </w:rPr>
  </w:style>
  <w:style w:type="table" w:styleId="GridTable1Light-Accent1">
    <w:name w:val="Grid Table 1 Light Accent 1"/>
    <w:basedOn w:val="TableNormal"/>
    <w:uiPriority w:val="46"/>
    <w:rsid w:val="004678A7"/>
    <w:pPr>
      <w:spacing w:after="0" w:line="240" w:lineRule="auto"/>
    </w:pPr>
    <w:tblPr>
      <w:tblStyleRowBandSize w:val="1"/>
      <w:tblStyleColBandSize w:val="1"/>
      <w:tblBorders>
        <w:top w:val="single" w:sz="4" w:space="0" w:color="C3E6E6" w:themeColor="accent1" w:themeTint="66"/>
        <w:left w:val="single" w:sz="4" w:space="0" w:color="C3E6E6" w:themeColor="accent1" w:themeTint="66"/>
        <w:bottom w:val="single" w:sz="4" w:space="0" w:color="C3E6E6" w:themeColor="accent1" w:themeTint="66"/>
        <w:right w:val="single" w:sz="4" w:space="0" w:color="C3E6E6" w:themeColor="accent1" w:themeTint="66"/>
        <w:insideH w:val="single" w:sz="4" w:space="0" w:color="C3E6E6" w:themeColor="accent1" w:themeTint="66"/>
        <w:insideV w:val="single" w:sz="4" w:space="0" w:color="C3E6E6" w:themeColor="accent1" w:themeTint="66"/>
      </w:tblBorders>
    </w:tblPr>
    <w:tblStylePr w:type="firstRow">
      <w:rPr>
        <w:b/>
        <w:bCs/>
      </w:rPr>
      <w:tblPr/>
      <w:tcPr>
        <w:tcBorders>
          <w:bottom w:val="single" w:sz="12" w:space="0" w:color="A5DAD9" w:themeColor="accent1" w:themeTint="99"/>
        </w:tcBorders>
      </w:tcPr>
    </w:tblStylePr>
    <w:tblStylePr w:type="lastRow">
      <w:rPr>
        <w:b/>
        <w:bCs/>
      </w:rPr>
      <w:tblPr/>
      <w:tcPr>
        <w:tcBorders>
          <w:top w:val="double" w:sz="2" w:space="0" w:color="A5DAD9"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C1DEC"/>
    <w:pPr>
      <w:spacing w:after="0" w:line="240" w:lineRule="auto"/>
    </w:pPr>
    <w:tblPr>
      <w:tblStyleRowBandSize w:val="1"/>
      <w:tblStyleColBandSize w:val="1"/>
      <w:tblBorders>
        <w:top w:val="single" w:sz="4" w:space="0" w:color="71B5FF" w:themeColor="text1" w:themeTint="66"/>
        <w:left w:val="single" w:sz="4" w:space="0" w:color="71B5FF" w:themeColor="text1" w:themeTint="66"/>
        <w:bottom w:val="single" w:sz="4" w:space="0" w:color="71B5FF" w:themeColor="text1" w:themeTint="66"/>
        <w:right w:val="single" w:sz="4" w:space="0" w:color="71B5FF" w:themeColor="text1" w:themeTint="66"/>
        <w:insideH w:val="single" w:sz="4" w:space="0" w:color="71B5FF" w:themeColor="text1" w:themeTint="66"/>
        <w:insideV w:val="single" w:sz="4" w:space="0" w:color="71B5FF" w:themeColor="text1" w:themeTint="66"/>
      </w:tblBorders>
    </w:tblPr>
    <w:tblStylePr w:type="firstRow">
      <w:rPr>
        <w:b/>
        <w:bCs/>
      </w:rPr>
      <w:tblPr/>
      <w:tcPr>
        <w:tcBorders>
          <w:bottom w:val="single" w:sz="12" w:space="0" w:color="2A90FF" w:themeColor="text1" w:themeTint="99"/>
        </w:tcBorders>
      </w:tcPr>
    </w:tblStylePr>
    <w:tblStylePr w:type="lastRow">
      <w:rPr>
        <w:b/>
        <w:bCs/>
      </w:rPr>
      <w:tblPr/>
      <w:tcPr>
        <w:tcBorders>
          <w:top w:val="double" w:sz="2" w:space="0" w:color="2A90FF" w:themeColor="text1"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C1DEC"/>
    <w:pPr>
      <w:spacing w:after="0" w:line="240" w:lineRule="auto"/>
    </w:pPr>
    <w:tblPr>
      <w:tblStyleRowBandSize w:val="1"/>
      <w:tblStyleColBandSize w:val="1"/>
      <w:tblBorders>
        <w:top w:val="single" w:sz="4" w:space="0" w:color="F6E294" w:themeColor="accent4" w:themeTint="99"/>
        <w:left w:val="single" w:sz="4" w:space="0" w:color="F6E294" w:themeColor="accent4" w:themeTint="99"/>
        <w:bottom w:val="single" w:sz="4" w:space="0" w:color="F6E294" w:themeColor="accent4" w:themeTint="99"/>
        <w:right w:val="single" w:sz="4" w:space="0" w:color="F6E294" w:themeColor="accent4" w:themeTint="99"/>
        <w:insideH w:val="single" w:sz="4" w:space="0" w:color="F6E294" w:themeColor="accent4" w:themeTint="99"/>
        <w:insideV w:val="single" w:sz="4" w:space="0" w:color="F6E294" w:themeColor="accent4" w:themeTint="99"/>
      </w:tblBorders>
    </w:tblPr>
    <w:tblStylePr w:type="firstRow">
      <w:rPr>
        <w:b/>
        <w:bCs/>
        <w:color w:val="FFFFFF" w:themeColor="background1"/>
      </w:rPr>
      <w:tblPr/>
      <w:tcPr>
        <w:tcBorders>
          <w:top w:val="single" w:sz="4" w:space="0" w:color="F1D04D" w:themeColor="accent4"/>
          <w:left w:val="single" w:sz="4" w:space="0" w:color="F1D04D" w:themeColor="accent4"/>
          <w:bottom w:val="single" w:sz="4" w:space="0" w:color="F1D04D" w:themeColor="accent4"/>
          <w:right w:val="single" w:sz="4" w:space="0" w:color="F1D04D" w:themeColor="accent4"/>
          <w:insideH w:val="nil"/>
          <w:insideV w:val="nil"/>
        </w:tcBorders>
        <w:shd w:val="clear" w:color="auto" w:fill="F1D04D" w:themeFill="accent4"/>
      </w:tcPr>
    </w:tblStylePr>
    <w:tblStylePr w:type="lastRow">
      <w:rPr>
        <w:b/>
        <w:bCs/>
      </w:rPr>
      <w:tblPr/>
      <w:tcPr>
        <w:tcBorders>
          <w:top w:val="double" w:sz="4" w:space="0" w:color="F1D04D" w:themeColor="accent4"/>
        </w:tcBorders>
      </w:tcPr>
    </w:tblStylePr>
    <w:tblStylePr w:type="firstCol">
      <w:rPr>
        <w:b/>
        <w:bCs/>
      </w:rPr>
    </w:tblStylePr>
    <w:tblStylePr w:type="lastCol">
      <w:rPr>
        <w:b/>
        <w:bCs/>
      </w:rPr>
    </w:tblStylePr>
    <w:tblStylePr w:type="band1Vert">
      <w:tblPr/>
      <w:tcPr>
        <w:shd w:val="clear" w:color="auto" w:fill="FCF5DB" w:themeFill="accent4" w:themeFillTint="33"/>
      </w:tcPr>
    </w:tblStylePr>
    <w:tblStylePr w:type="band1Horz">
      <w:tblPr/>
      <w:tcPr>
        <w:shd w:val="clear" w:color="auto" w:fill="FCF5DB" w:themeFill="accent4" w:themeFillTint="33"/>
      </w:tcPr>
    </w:tblStylePr>
  </w:style>
  <w:style w:type="table" w:styleId="GridTable2">
    <w:name w:val="Grid Table 2"/>
    <w:basedOn w:val="TableNormal"/>
    <w:uiPriority w:val="47"/>
    <w:rsid w:val="00287ADE"/>
    <w:pPr>
      <w:spacing w:after="0" w:line="240" w:lineRule="auto"/>
    </w:pPr>
    <w:tblPr>
      <w:tblStyleRowBandSize w:val="1"/>
      <w:tblStyleColBandSize w:val="1"/>
      <w:tblBorders>
        <w:top w:val="single" w:sz="2" w:space="0" w:color="2A90FF" w:themeColor="text1" w:themeTint="99"/>
        <w:bottom w:val="single" w:sz="2" w:space="0" w:color="2A90FF" w:themeColor="text1" w:themeTint="99"/>
        <w:insideH w:val="single" w:sz="2" w:space="0" w:color="2A90FF" w:themeColor="text1" w:themeTint="99"/>
        <w:insideV w:val="single" w:sz="2" w:space="0" w:color="2A90FF" w:themeColor="text1" w:themeTint="99"/>
      </w:tblBorders>
    </w:tblPr>
    <w:tblStylePr w:type="firstRow">
      <w:rPr>
        <w:b/>
        <w:bCs/>
      </w:rPr>
      <w:tblPr/>
      <w:tcPr>
        <w:tcBorders>
          <w:top w:val="nil"/>
          <w:bottom w:val="single" w:sz="12" w:space="0" w:color="2A90FF" w:themeColor="text1" w:themeTint="99"/>
          <w:insideH w:val="nil"/>
          <w:insideV w:val="nil"/>
        </w:tcBorders>
        <w:shd w:val="clear" w:color="auto" w:fill="FFFFFF" w:themeFill="background1"/>
      </w:tcPr>
    </w:tblStylePr>
    <w:tblStylePr w:type="lastRow">
      <w:rPr>
        <w:b/>
        <w:bCs/>
      </w:rPr>
      <w:tblPr/>
      <w:tcPr>
        <w:tcBorders>
          <w:top w:val="double" w:sz="2" w:space="0" w:color="2A90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D9FF" w:themeFill="text1" w:themeFillTint="33"/>
      </w:tcPr>
    </w:tblStylePr>
    <w:tblStylePr w:type="band1Horz">
      <w:tblPr/>
      <w:tcPr>
        <w:shd w:val="clear" w:color="auto" w:fill="B8D9FF" w:themeFill="text1" w:themeFillTint="33"/>
      </w:tcPr>
    </w:tblStylePr>
  </w:style>
  <w:style w:type="table" w:styleId="GridTable7Colorful-Accent6">
    <w:name w:val="Grid Table 7 Colorful Accent 6"/>
    <w:basedOn w:val="TableNormal"/>
    <w:uiPriority w:val="52"/>
    <w:rsid w:val="00287ADE"/>
    <w:pPr>
      <w:spacing w:after="0" w:line="240" w:lineRule="auto"/>
    </w:pPr>
    <w:rPr>
      <w:color w:val="71A150" w:themeColor="accent6" w:themeShade="BF"/>
    </w:rPr>
    <w:tblPr>
      <w:tblStyleRowBandSize w:val="1"/>
      <w:tblStyleColBandSize w:val="1"/>
      <w:tblBorders>
        <w:top w:val="single" w:sz="4" w:space="0" w:color="C3D9B3" w:themeColor="accent6" w:themeTint="99"/>
        <w:left w:val="single" w:sz="4" w:space="0" w:color="C3D9B3" w:themeColor="accent6" w:themeTint="99"/>
        <w:bottom w:val="single" w:sz="4" w:space="0" w:color="C3D9B3" w:themeColor="accent6" w:themeTint="99"/>
        <w:right w:val="single" w:sz="4" w:space="0" w:color="C3D9B3" w:themeColor="accent6" w:themeTint="99"/>
        <w:insideH w:val="single" w:sz="4" w:space="0" w:color="C3D9B3" w:themeColor="accent6" w:themeTint="99"/>
        <w:insideV w:val="single" w:sz="4" w:space="0" w:color="C3D9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2E5" w:themeFill="accent6" w:themeFillTint="33"/>
      </w:tcPr>
    </w:tblStylePr>
    <w:tblStylePr w:type="band1Horz">
      <w:tblPr/>
      <w:tcPr>
        <w:shd w:val="clear" w:color="auto" w:fill="EBF2E5" w:themeFill="accent6" w:themeFillTint="33"/>
      </w:tcPr>
    </w:tblStylePr>
    <w:tblStylePr w:type="neCell">
      <w:tblPr/>
      <w:tcPr>
        <w:tcBorders>
          <w:bottom w:val="single" w:sz="4" w:space="0" w:color="C3D9B3" w:themeColor="accent6" w:themeTint="99"/>
        </w:tcBorders>
      </w:tcPr>
    </w:tblStylePr>
    <w:tblStylePr w:type="nwCell">
      <w:tblPr/>
      <w:tcPr>
        <w:tcBorders>
          <w:bottom w:val="single" w:sz="4" w:space="0" w:color="C3D9B3" w:themeColor="accent6" w:themeTint="99"/>
        </w:tcBorders>
      </w:tcPr>
    </w:tblStylePr>
    <w:tblStylePr w:type="seCell">
      <w:tblPr/>
      <w:tcPr>
        <w:tcBorders>
          <w:top w:val="single" w:sz="4" w:space="0" w:color="C3D9B3" w:themeColor="accent6" w:themeTint="99"/>
        </w:tcBorders>
      </w:tcPr>
    </w:tblStylePr>
    <w:tblStylePr w:type="swCell">
      <w:tblPr/>
      <w:tcPr>
        <w:tcBorders>
          <w:top w:val="single" w:sz="4" w:space="0" w:color="C3D9B3" w:themeColor="accent6" w:themeTint="99"/>
        </w:tcBorders>
      </w:tcPr>
    </w:tblStylePr>
  </w:style>
  <w:style w:type="table" w:styleId="GridTable4">
    <w:name w:val="Grid Table 4"/>
    <w:basedOn w:val="TableNormal"/>
    <w:uiPriority w:val="49"/>
    <w:rsid w:val="007C32B9"/>
    <w:pPr>
      <w:spacing w:after="0" w:line="240" w:lineRule="auto"/>
    </w:pPr>
    <w:tblPr>
      <w:tblStyleRowBandSize w:val="1"/>
      <w:tblStyleColBandSize w:val="1"/>
      <w:tblBorders>
        <w:top w:val="single" w:sz="4" w:space="0" w:color="2A90FF" w:themeColor="text1" w:themeTint="99"/>
        <w:left w:val="single" w:sz="4" w:space="0" w:color="2A90FF" w:themeColor="text1" w:themeTint="99"/>
        <w:bottom w:val="single" w:sz="4" w:space="0" w:color="2A90FF" w:themeColor="text1" w:themeTint="99"/>
        <w:right w:val="single" w:sz="4" w:space="0" w:color="2A90FF" w:themeColor="text1" w:themeTint="99"/>
        <w:insideH w:val="single" w:sz="4" w:space="0" w:color="2A90FF" w:themeColor="text1" w:themeTint="99"/>
        <w:insideV w:val="single" w:sz="4" w:space="0" w:color="2A90FF" w:themeColor="text1" w:themeTint="99"/>
      </w:tblBorders>
    </w:tblPr>
    <w:tblStylePr w:type="firstRow">
      <w:rPr>
        <w:b/>
        <w:bCs/>
        <w:color w:val="FFFFFF" w:themeColor="background1"/>
      </w:rPr>
      <w:tblPr/>
      <w:tcPr>
        <w:tcBorders>
          <w:top w:val="single" w:sz="4" w:space="0" w:color="004B9C" w:themeColor="text1"/>
          <w:left w:val="single" w:sz="4" w:space="0" w:color="004B9C" w:themeColor="text1"/>
          <w:bottom w:val="single" w:sz="4" w:space="0" w:color="004B9C" w:themeColor="text1"/>
          <w:right w:val="single" w:sz="4" w:space="0" w:color="004B9C" w:themeColor="text1"/>
          <w:insideH w:val="nil"/>
          <w:insideV w:val="nil"/>
        </w:tcBorders>
        <w:shd w:val="clear" w:color="auto" w:fill="004B9C" w:themeFill="text1"/>
      </w:tcPr>
    </w:tblStylePr>
    <w:tblStylePr w:type="lastRow">
      <w:rPr>
        <w:b/>
        <w:bCs/>
      </w:rPr>
      <w:tblPr/>
      <w:tcPr>
        <w:tcBorders>
          <w:top w:val="double" w:sz="4" w:space="0" w:color="004B9C" w:themeColor="text1"/>
        </w:tcBorders>
      </w:tcPr>
    </w:tblStylePr>
    <w:tblStylePr w:type="firstCol">
      <w:rPr>
        <w:b/>
        <w:bCs/>
      </w:rPr>
    </w:tblStylePr>
    <w:tblStylePr w:type="lastCol">
      <w:rPr>
        <w:b/>
        <w:bCs/>
      </w:rPr>
    </w:tblStylePr>
    <w:tblStylePr w:type="band1Vert">
      <w:tblPr/>
      <w:tcPr>
        <w:shd w:val="clear" w:color="auto" w:fill="B8D9FF" w:themeFill="text1" w:themeFillTint="33"/>
      </w:tcPr>
    </w:tblStylePr>
    <w:tblStylePr w:type="band1Horz">
      <w:tblPr/>
      <w:tcPr>
        <w:shd w:val="clear" w:color="auto" w:fill="B8D9FF" w:themeFill="text1" w:themeFillTint="33"/>
      </w:tcPr>
    </w:tblStylePr>
  </w:style>
  <w:style w:type="table" w:styleId="GridTable4-Accent3">
    <w:name w:val="Grid Table 4 Accent 3"/>
    <w:basedOn w:val="TableNormal"/>
    <w:uiPriority w:val="49"/>
    <w:rsid w:val="00AF3F7D"/>
    <w:pPr>
      <w:spacing w:after="0" w:line="240" w:lineRule="auto"/>
    </w:pPr>
    <w:tblPr>
      <w:tblStyleRowBandSize w:val="1"/>
      <w:tblStyleColBandSize w:val="1"/>
      <w:tblBorders>
        <w:top w:val="single" w:sz="4" w:space="0" w:color="E1A0C1" w:themeColor="accent3" w:themeTint="99"/>
        <w:left w:val="single" w:sz="4" w:space="0" w:color="E1A0C1" w:themeColor="accent3" w:themeTint="99"/>
        <w:bottom w:val="single" w:sz="4" w:space="0" w:color="E1A0C1" w:themeColor="accent3" w:themeTint="99"/>
        <w:right w:val="single" w:sz="4" w:space="0" w:color="E1A0C1" w:themeColor="accent3" w:themeTint="99"/>
        <w:insideH w:val="single" w:sz="4" w:space="0" w:color="E1A0C1" w:themeColor="accent3" w:themeTint="99"/>
        <w:insideV w:val="single" w:sz="4" w:space="0" w:color="E1A0C1" w:themeColor="accent3" w:themeTint="99"/>
      </w:tblBorders>
    </w:tblPr>
    <w:tblStylePr w:type="firstRow">
      <w:rPr>
        <w:b/>
        <w:bCs/>
        <w:color w:val="FFFFFF" w:themeColor="background1"/>
      </w:rPr>
      <w:tblPr/>
      <w:tcPr>
        <w:tcBorders>
          <w:top w:val="single" w:sz="4" w:space="0" w:color="CD6299" w:themeColor="accent3"/>
          <w:left w:val="single" w:sz="4" w:space="0" w:color="CD6299" w:themeColor="accent3"/>
          <w:bottom w:val="single" w:sz="4" w:space="0" w:color="CD6299" w:themeColor="accent3"/>
          <w:right w:val="single" w:sz="4" w:space="0" w:color="CD6299" w:themeColor="accent3"/>
          <w:insideH w:val="nil"/>
          <w:insideV w:val="nil"/>
        </w:tcBorders>
        <w:shd w:val="clear" w:color="auto" w:fill="CD6299" w:themeFill="accent3"/>
      </w:tcPr>
    </w:tblStylePr>
    <w:tblStylePr w:type="lastRow">
      <w:rPr>
        <w:b/>
        <w:bCs/>
      </w:rPr>
      <w:tblPr/>
      <w:tcPr>
        <w:tcBorders>
          <w:top w:val="double" w:sz="4" w:space="0" w:color="CD6299" w:themeColor="accent3"/>
        </w:tcBorders>
      </w:tcPr>
    </w:tblStylePr>
    <w:tblStylePr w:type="firstCol">
      <w:rPr>
        <w:b/>
        <w:bCs/>
      </w:rPr>
    </w:tblStylePr>
    <w:tblStylePr w:type="lastCol">
      <w:rPr>
        <w:b/>
        <w:bCs/>
      </w:rPr>
    </w:tblStylePr>
    <w:tblStylePr w:type="band1Vert">
      <w:tblPr/>
      <w:tcPr>
        <w:shd w:val="clear" w:color="auto" w:fill="F5DFEA" w:themeFill="accent3" w:themeFillTint="33"/>
      </w:tcPr>
    </w:tblStylePr>
    <w:tblStylePr w:type="band1Horz">
      <w:tblPr/>
      <w:tcPr>
        <w:shd w:val="clear" w:color="auto" w:fill="F5DFEA" w:themeFill="accent3" w:themeFillTint="33"/>
      </w:tcPr>
    </w:tblStylePr>
  </w:style>
  <w:style w:type="table" w:styleId="GridTable4-Accent1">
    <w:name w:val="Grid Table 4 Accent 1"/>
    <w:basedOn w:val="TableNormal"/>
    <w:uiPriority w:val="49"/>
    <w:rsid w:val="00AF3F7D"/>
    <w:pPr>
      <w:spacing w:after="0" w:line="240" w:lineRule="auto"/>
    </w:pPr>
    <w:tblPr>
      <w:tblStyleRowBandSize w:val="1"/>
      <w:tblStyleColBandSize w:val="1"/>
      <w:tblBorders>
        <w:top w:val="single" w:sz="4" w:space="0" w:color="A5DAD9" w:themeColor="accent1" w:themeTint="99"/>
        <w:left w:val="single" w:sz="4" w:space="0" w:color="A5DAD9" w:themeColor="accent1" w:themeTint="99"/>
        <w:bottom w:val="single" w:sz="4" w:space="0" w:color="A5DAD9" w:themeColor="accent1" w:themeTint="99"/>
        <w:right w:val="single" w:sz="4" w:space="0" w:color="A5DAD9" w:themeColor="accent1" w:themeTint="99"/>
        <w:insideH w:val="single" w:sz="4" w:space="0" w:color="A5DAD9" w:themeColor="accent1" w:themeTint="99"/>
        <w:insideV w:val="single" w:sz="4" w:space="0" w:color="A5DAD9" w:themeColor="accent1" w:themeTint="99"/>
      </w:tblBorders>
    </w:tblPr>
    <w:tblStylePr w:type="firstRow">
      <w:rPr>
        <w:b/>
        <w:bCs/>
        <w:color w:val="FFFFFF" w:themeColor="background1"/>
      </w:rPr>
      <w:tblPr/>
      <w:tcPr>
        <w:tcBorders>
          <w:top w:val="single" w:sz="4" w:space="0" w:color="6AC2C1" w:themeColor="accent1"/>
          <w:left w:val="single" w:sz="4" w:space="0" w:color="6AC2C1" w:themeColor="accent1"/>
          <w:bottom w:val="single" w:sz="4" w:space="0" w:color="6AC2C1" w:themeColor="accent1"/>
          <w:right w:val="single" w:sz="4" w:space="0" w:color="6AC2C1" w:themeColor="accent1"/>
          <w:insideH w:val="nil"/>
          <w:insideV w:val="nil"/>
        </w:tcBorders>
        <w:shd w:val="clear" w:color="auto" w:fill="6AC2C1" w:themeFill="accent1"/>
      </w:tcPr>
    </w:tblStylePr>
    <w:tblStylePr w:type="lastRow">
      <w:rPr>
        <w:b/>
        <w:bCs/>
      </w:rPr>
      <w:tblPr/>
      <w:tcPr>
        <w:tcBorders>
          <w:top w:val="double" w:sz="4" w:space="0" w:color="6AC2C1" w:themeColor="accent1"/>
        </w:tcBorders>
      </w:tcPr>
    </w:tblStylePr>
    <w:tblStylePr w:type="firstCol">
      <w:rPr>
        <w:b/>
        <w:bCs/>
      </w:rPr>
    </w:tblStylePr>
    <w:tblStylePr w:type="lastCol">
      <w:rPr>
        <w:b/>
        <w:bCs/>
      </w:rPr>
    </w:tblStylePr>
    <w:tblStylePr w:type="band1Vert">
      <w:tblPr/>
      <w:tcPr>
        <w:shd w:val="clear" w:color="auto" w:fill="E1F2F2" w:themeFill="accent1" w:themeFillTint="33"/>
      </w:tcPr>
    </w:tblStylePr>
    <w:tblStylePr w:type="band1Horz">
      <w:tblPr/>
      <w:tcPr>
        <w:shd w:val="clear" w:color="auto" w:fill="E1F2F2" w:themeFill="accent1" w:themeFillTint="33"/>
      </w:tcPr>
    </w:tblStylePr>
  </w:style>
  <w:style w:type="table" w:styleId="GridTable1Light-Accent2">
    <w:name w:val="Grid Table 1 Light Accent 2"/>
    <w:basedOn w:val="TableNormal"/>
    <w:uiPriority w:val="46"/>
    <w:rsid w:val="007354A4"/>
    <w:pPr>
      <w:spacing w:after="0" w:line="240" w:lineRule="auto"/>
    </w:pPr>
    <w:tblPr>
      <w:tblStyleRowBandSize w:val="1"/>
      <w:tblStyleColBandSize w:val="1"/>
      <w:tblBorders>
        <w:top w:val="single" w:sz="4" w:space="0" w:color="9FDAE7" w:themeColor="accent2" w:themeTint="66"/>
        <w:left w:val="single" w:sz="4" w:space="0" w:color="9FDAE7" w:themeColor="accent2" w:themeTint="66"/>
        <w:bottom w:val="single" w:sz="4" w:space="0" w:color="9FDAE7" w:themeColor="accent2" w:themeTint="66"/>
        <w:right w:val="single" w:sz="4" w:space="0" w:color="9FDAE7" w:themeColor="accent2" w:themeTint="66"/>
        <w:insideH w:val="single" w:sz="4" w:space="0" w:color="9FDAE7" w:themeColor="accent2" w:themeTint="66"/>
        <w:insideV w:val="single" w:sz="4" w:space="0" w:color="9FDAE7" w:themeColor="accent2" w:themeTint="66"/>
      </w:tblBorders>
    </w:tblPr>
    <w:tblStylePr w:type="firstRow">
      <w:rPr>
        <w:b/>
        <w:bCs/>
      </w:rPr>
      <w:tblPr/>
      <w:tcPr>
        <w:tcBorders>
          <w:bottom w:val="single" w:sz="12" w:space="0" w:color="70C8DC" w:themeColor="accent2" w:themeTint="99"/>
        </w:tcBorders>
      </w:tcPr>
    </w:tblStylePr>
    <w:tblStylePr w:type="lastRow">
      <w:rPr>
        <w:b/>
        <w:bCs/>
      </w:rPr>
      <w:tblPr/>
      <w:tcPr>
        <w:tcBorders>
          <w:top w:val="double" w:sz="2" w:space="0" w:color="70C8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354A4"/>
    <w:pPr>
      <w:spacing w:after="0" w:line="240" w:lineRule="auto"/>
    </w:pPr>
    <w:tblPr>
      <w:tblStyleRowBandSize w:val="1"/>
      <w:tblStyleColBandSize w:val="1"/>
      <w:tblBorders>
        <w:top w:val="single" w:sz="4" w:space="0" w:color="EBC0D6" w:themeColor="accent3" w:themeTint="66"/>
        <w:left w:val="single" w:sz="4" w:space="0" w:color="EBC0D6" w:themeColor="accent3" w:themeTint="66"/>
        <w:bottom w:val="single" w:sz="4" w:space="0" w:color="EBC0D6" w:themeColor="accent3" w:themeTint="66"/>
        <w:right w:val="single" w:sz="4" w:space="0" w:color="EBC0D6" w:themeColor="accent3" w:themeTint="66"/>
        <w:insideH w:val="single" w:sz="4" w:space="0" w:color="EBC0D6" w:themeColor="accent3" w:themeTint="66"/>
        <w:insideV w:val="single" w:sz="4" w:space="0" w:color="EBC0D6" w:themeColor="accent3" w:themeTint="66"/>
      </w:tblBorders>
    </w:tblPr>
    <w:tblStylePr w:type="firstRow">
      <w:rPr>
        <w:b/>
        <w:bCs/>
      </w:rPr>
      <w:tblPr/>
      <w:tcPr>
        <w:tcBorders>
          <w:bottom w:val="single" w:sz="12" w:space="0" w:color="E1A0C1" w:themeColor="accent3" w:themeTint="99"/>
        </w:tcBorders>
      </w:tcPr>
    </w:tblStylePr>
    <w:tblStylePr w:type="lastRow">
      <w:rPr>
        <w:b/>
        <w:bCs/>
      </w:rPr>
      <w:tblPr/>
      <w:tcPr>
        <w:tcBorders>
          <w:top w:val="double" w:sz="2" w:space="0" w:color="E1A0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354A4"/>
    <w:pPr>
      <w:spacing w:after="0" w:line="240" w:lineRule="auto"/>
    </w:pPr>
    <w:tblPr>
      <w:tblStyleRowBandSize w:val="1"/>
      <w:tblStyleColBandSize w:val="1"/>
      <w:tblBorders>
        <w:top w:val="single" w:sz="4" w:space="0" w:color="F9ECB7" w:themeColor="accent4" w:themeTint="66"/>
        <w:left w:val="single" w:sz="4" w:space="0" w:color="F9ECB7" w:themeColor="accent4" w:themeTint="66"/>
        <w:bottom w:val="single" w:sz="4" w:space="0" w:color="F9ECB7" w:themeColor="accent4" w:themeTint="66"/>
        <w:right w:val="single" w:sz="4" w:space="0" w:color="F9ECB7" w:themeColor="accent4" w:themeTint="66"/>
        <w:insideH w:val="single" w:sz="4" w:space="0" w:color="F9ECB7" w:themeColor="accent4" w:themeTint="66"/>
        <w:insideV w:val="single" w:sz="4" w:space="0" w:color="F9ECB7" w:themeColor="accent4" w:themeTint="66"/>
      </w:tblBorders>
    </w:tblPr>
    <w:tblStylePr w:type="firstRow">
      <w:rPr>
        <w:b/>
        <w:bCs/>
      </w:rPr>
      <w:tblPr/>
      <w:tcPr>
        <w:tcBorders>
          <w:bottom w:val="single" w:sz="12" w:space="0" w:color="F6E294" w:themeColor="accent4" w:themeTint="99"/>
        </w:tcBorders>
      </w:tcPr>
    </w:tblStylePr>
    <w:tblStylePr w:type="lastRow">
      <w:rPr>
        <w:b/>
        <w:bCs/>
      </w:rPr>
      <w:tblPr/>
      <w:tcPr>
        <w:tcBorders>
          <w:top w:val="double" w:sz="2" w:space="0" w:color="F6E29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54A4"/>
    <w:pPr>
      <w:spacing w:after="0" w:line="240" w:lineRule="auto"/>
    </w:pPr>
    <w:tblPr>
      <w:tblStyleRowBandSize w:val="1"/>
      <w:tblStyleColBandSize w:val="1"/>
      <w:tblBorders>
        <w:top w:val="single" w:sz="4" w:space="0" w:color="ABE2A6" w:themeColor="accent5" w:themeTint="66"/>
        <w:left w:val="single" w:sz="4" w:space="0" w:color="ABE2A6" w:themeColor="accent5" w:themeTint="66"/>
        <w:bottom w:val="single" w:sz="4" w:space="0" w:color="ABE2A6" w:themeColor="accent5" w:themeTint="66"/>
        <w:right w:val="single" w:sz="4" w:space="0" w:color="ABE2A6" w:themeColor="accent5" w:themeTint="66"/>
        <w:insideH w:val="single" w:sz="4" w:space="0" w:color="ABE2A6" w:themeColor="accent5" w:themeTint="66"/>
        <w:insideV w:val="single" w:sz="4" w:space="0" w:color="ABE2A6" w:themeColor="accent5" w:themeTint="66"/>
      </w:tblBorders>
    </w:tblPr>
    <w:tblStylePr w:type="firstRow">
      <w:rPr>
        <w:b/>
        <w:bCs/>
      </w:rPr>
      <w:tblPr/>
      <w:tcPr>
        <w:tcBorders>
          <w:bottom w:val="single" w:sz="12" w:space="0" w:color="81D47A" w:themeColor="accent5" w:themeTint="99"/>
        </w:tcBorders>
      </w:tcPr>
    </w:tblStylePr>
    <w:tblStylePr w:type="lastRow">
      <w:rPr>
        <w:b/>
        <w:bCs/>
      </w:rPr>
      <w:tblPr/>
      <w:tcPr>
        <w:tcBorders>
          <w:top w:val="double" w:sz="2" w:space="0" w:color="81D47A" w:themeColor="accent5" w:themeTint="99"/>
        </w:tcBorders>
      </w:tcPr>
    </w:tblStylePr>
    <w:tblStylePr w:type="firstCol">
      <w:rPr>
        <w:b/>
        <w:bCs/>
      </w:rPr>
    </w:tblStylePr>
    <w:tblStylePr w:type="lastCol">
      <w:rPr>
        <w:b/>
        <w:bCs/>
      </w:rPr>
    </w:tblStylePr>
  </w:style>
  <w:style w:type="paragraph" w:customStyle="1" w:styleId="FrontPageSubtitle">
    <w:name w:val="Front Page Subtitle"/>
    <w:basedOn w:val="Normal"/>
    <w:next w:val="FrontPageAuthor"/>
    <w:link w:val="FrontPageSubtitleChar"/>
    <w:qFormat/>
    <w:rsid w:val="00B14E67"/>
    <w:pPr>
      <w:spacing w:before="240" w:after="240"/>
      <w:jc w:val="center"/>
    </w:pPr>
    <w:rPr>
      <w:b/>
      <w:bCs/>
      <w:color w:val="161616" w:themeColor="background2" w:themeShade="1A"/>
      <w:sz w:val="36"/>
      <w:szCs w:val="36"/>
    </w:rPr>
  </w:style>
  <w:style w:type="character" w:customStyle="1" w:styleId="FrontPageSubtitleChar">
    <w:name w:val="Front Page Subtitle Char"/>
    <w:basedOn w:val="DefaultParagraphFont"/>
    <w:link w:val="FrontPageSubtitle"/>
    <w:rsid w:val="00B14E67"/>
    <w:rPr>
      <w:b/>
      <w:bCs/>
      <w:color w:val="161616" w:themeColor="background2" w:themeShade="1A"/>
      <w:sz w:val="36"/>
      <w:szCs w:val="36"/>
    </w:rPr>
  </w:style>
  <w:style w:type="paragraph" w:customStyle="1" w:styleId="Version">
    <w:name w:val="Version"/>
    <w:basedOn w:val="Subtitle"/>
    <w:link w:val="VersionChar"/>
    <w:qFormat/>
    <w:rsid w:val="00CD505B"/>
    <w:rPr>
      <w:sz w:val="32"/>
    </w:rPr>
  </w:style>
  <w:style w:type="character" w:customStyle="1" w:styleId="VersionChar">
    <w:name w:val="Version Char"/>
    <w:basedOn w:val="SubtitleChar"/>
    <w:link w:val="Version"/>
    <w:rsid w:val="00CD505B"/>
    <w:rPr>
      <w:b/>
      <w:bCs/>
      <w:color w:val="161616" w:themeColor="background2" w:themeShade="1A"/>
      <w:sz w:val="32"/>
      <w:szCs w:val="36"/>
    </w:rPr>
  </w:style>
  <w:style w:type="paragraph" w:customStyle="1" w:styleId="FrontPageAuthor">
    <w:name w:val="Front Page Author"/>
    <w:basedOn w:val="Normal"/>
    <w:next w:val="Normal"/>
    <w:link w:val="FrontPageAuthorChar"/>
    <w:qFormat/>
    <w:rsid w:val="00B14E67"/>
    <w:pPr>
      <w:spacing w:before="240" w:after="240"/>
      <w:jc w:val="center"/>
    </w:pPr>
    <w:rPr>
      <w:b/>
      <w:color w:val="161616" w:themeColor="background2" w:themeShade="1A"/>
      <w:sz w:val="28"/>
      <w:szCs w:val="28"/>
    </w:rPr>
  </w:style>
  <w:style w:type="character" w:customStyle="1" w:styleId="FrontPageAuthorChar">
    <w:name w:val="Front Page Author Char"/>
    <w:basedOn w:val="DefaultParagraphFont"/>
    <w:link w:val="FrontPageAuthor"/>
    <w:rsid w:val="00B14E67"/>
    <w:rPr>
      <w:b/>
      <w:color w:val="161616" w:themeColor="background2" w:themeShade="1A"/>
      <w:sz w:val="28"/>
      <w:szCs w:val="28"/>
    </w:rPr>
  </w:style>
  <w:style w:type="paragraph" w:customStyle="1" w:styleId="VersionDate">
    <w:name w:val="Version &amp; Date"/>
    <w:basedOn w:val="Version"/>
    <w:next w:val="Normal"/>
    <w:link w:val="VersionDateChar"/>
    <w:qFormat/>
    <w:rsid w:val="00B14E67"/>
    <w:pPr>
      <w:spacing w:after="600"/>
    </w:pPr>
  </w:style>
  <w:style w:type="character" w:customStyle="1" w:styleId="VersionDateChar">
    <w:name w:val="Version &amp; Date Char"/>
    <w:basedOn w:val="VersionChar"/>
    <w:link w:val="VersionDate"/>
    <w:rsid w:val="00B14E67"/>
    <w:rPr>
      <w:b/>
      <w:bCs/>
      <w:color w:val="161616" w:themeColor="background2" w:themeShade="1A"/>
      <w:sz w:val="32"/>
      <w:szCs w:val="36"/>
    </w:rPr>
  </w:style>
  <w:style w:type="character" w:styleId="FollowedHyperlink">
    <w:name w:val="FollowedHyperlink"/>
    <w:basedOn w:val="DefaultParagraphFont"/>
    <w:uiPriority w:val="99"/>
    <w:semiHidden/>
    <w:unhideWhenUsed/>
    <w:rsid w:val="000E5378"/>
    <w:rPr>
      <w:color w:val="3F0040" w:themeColor="followedHyperlink"/>
      <w:u w:val="single"/>
    </w:rPr>
  </w:style>
  <w:style w:type="paragraph" w:styleId="Quote">
    <w:name w:val="Quote"/>
    <w:basedOn w:val="Normal"/>
    <w:next w:val="Normal"/>
    <w:link w:val="QuoteChar"/>
    <w:uiPriority w:val="29"/>
    <w:qFormat/>
    <w:rsid w:val="00F15B0F"/>
    <w:pPr>
      <w:spacing w:before="160"/>
      <w:jc w:val="center"/>
    </w:pPr>
    <w:rPr>
      <w:i/>
      <w:iCs/>
      <w:color w:val="0075F4" w:themeColor="text1" w:themeTint="BF"/>
    </w:rPr>
  </w:style>
  <w:style w:type="character" w:customStyle="1" w:styleId="QuoteChar">
    <w:name w:val="Quote Char"/>
    <w:basedOn w:val="DefaultParagraphFont"/>
    <w:link w:val="Quote"/>
    <w:uiPriority w:val="29"/>
    <w:rsid w:val="00F15B0F"/>
    <w:rPr>
      <w:i/>
      <w:iCs/>
      <w:color w:val="0075F4" w:themeColor="text1" w:themeTint="BF"/>
      <w:sz w:val="24"/>
      <w:szCs w:val="24"/>
    </w:rPr>
  </w:style>
  <w:style w:type="character" w:styleId="IntenseEmphasis">
    <w:name w:val="Intense Emphasis"/>
    <w:basedOn w:val="DefaultParagraphFont"/>
    <w:uiPriority w:val="21"/>
    <w:qFormat/>
    <w:rsid w:val="00F15B0F"/>
    <w:rPr>
      <w:i/>
      <w:iCs/>
      <w:color w:val="419F9E" w:themeColor="accent1" w:themeShade="BF"/>
    </w:rPr>
  </w:style>
  <w:style w:type="paragraph" w:styleId="IntenseQuote">
    <w:name w:val="Intense Quote"/>
    <w:basedOn w:val="Normal"/>
    <w:next w:val="Normal"/>
    <w:link w:val="IntenseQuoteChar"/>
    <w:uiPriority w:val="30"/>
    <w:qFormat/>
    <w:rsid w:val="00F15B0F"/>
    <w:pPr>
      <w:pBdr>
        <w:top w:val="single" w:sz="4" w:space="10" w:color="419F9E" w:themeColor="accent1" w:themeShade="BF"/>
        <w:bottom w:val="single" w:sz="4" w:space="10" w:color="419F9E" w:themeColor="accent1" w:themeShade="BF"/>
      </w:pBdr>
      <w:spacing w:before="360" w:after="360"/>
      <w:ind w:left="864" w:right="864"/>
      <w:jc w:val="center"/>
    </w:pPr>
    <w:rPr>
      <w:i/>
      <w:iCs/>
      <w:color w:val="419F9E" w:themeColor="accent1" w:themeShade="BF"/>
    </w:rPr>
  </w:style>
  <w:style w:type="character" w:customStyle="1" w:styleId="IntenseQuoteChar">
    <w:name w:val="Intense Quote Char"/>
    <w:basedOn w:val="DefaultParagraphFont"/>
    <w:link w:val="IntenseQuote"/>
    <w:uiPriority w:val="30"/>
    <w:rsid w:val="00F15B0F"/>
    <w:rPr>
      <w:i/>
      <w:iCs/>
      <w:color w:val="419F9E" w:themeColor="accent1" w:themeShade="BF"/>
      <w:sz w:val="24"/>
      <w:szCs w:val="24"/>
    </w:rPr>
  </w:style>
  <w:style w:type="character" w:styleId="IntenseReference">
    <w:name w:val="Intense Reference"/>
    <w:basedOn w:val="DefaultParagraphFont"/>
    <w:uiPriority w:val="32"/>
    <w:qFormat/>
    <w:rsid w:val="00F15B0F"/>
    <w:rPr>
      <w:b/>
      <w:bCs/>
      <w:smallCaps/>
      <w:color w:val="419F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557739">
      <w:bodyDiv w:val="1"/>
      <w:marLeft w:val="0"/>
      <w:marRight w:val="0"/>
      <w:marTop w:val="0"/>
      <w:marBottom w:val="0"/>
      <w:divBdr>
        <w:top w:val="none" w:sz="0" w:space="0" w:color="auto"/>
        <w:left w:val="none" w:sz="0" w:space="0" w:color="auto"/>
        <w:bottom w:val="none" w:sz="0" w:space="0" w:color="auto"/>
        <w:right w:val="none" w:sz="0" w:space="0" w:color="auto"/>
      </w:divBdr>
    </w:div>
    <w:div w:id="394623707">
      <w:bodyDiv w:val="1"/>
      <w:marLeft w:val="0"/>
      <w:marRight w:val="0"/>
      <w:marTop w:val="0"/>
      <w:marBottom w:val="0"/>
      <w:divBdr>
        <w:top w:val="none" w:sz="0" w:space="0" w:color="auto"/>
        <w:left w:val="none" w:sz="0" w:space="0" w:color="auto"/>
        <w:bottom w:val="none" w:sz="0" w:space="0" w:color="auto"/>
        <w:right w:val="none" w:sz="0" w:space="0" w:color="auto"/>
      </w:divBdr>
    </w:div>
    <w:div w:id="506988298">
      <w:bodyDiv w:val="1"/>
      <w:marLeft w:val="0"/>
      <w:marRight w:val="0"/>
      <w:marTop w:val="0"/>
      <w:marBottom w:val="0"/>
      <w:divBdr>
        <w:top w:val="none" w:sz="0" w:space="0" w:color="auto"/>
        <w:left w:val="none" w:sz="0" w:space="0" w:color="auto"/>
        <w:bottom w:val="none" w:sz="0" w:space="0" w:color="auto"/>
        <w:right w:val="none" w:sz="0" w:space="0" w:color="auto"/>
      </w:divBdr>
    </w:div>
    <w:div w:id="1580287009">
      <w:bodyDiv w:val="1"/>
      <w:marLeft w:val="0"/>
      <w:marRight w:val="0"/>
      <w:marTop w:val="0"/>
      <w:marBottom w:val="0"/>
      <w:divBdr>
        <w:top w:val="none" w:sz="0" w:space="0" w:color="auto"/>
        <w:left w:val="none" w:sz="0" w:space="0" w:color="auto"/>
        <w:bottom w:val="none" w:sz="0" w:space="0" w:color="auto"/>
        <w:right w:val="none" w:sz="0" w:space="0" w:color="auto"/>
      </w:divBdr>
    </w:div>
    <w:div w:id="1645088339">
      <w:bodyDiv w:val="1"/>
      <w:marLeft w:val="0"/>
      <w:marRight w:val="0"/>
      <w:marTop w:val="0"/>
      <w:marBottom w:val="0"/>
      <w:divBdr>
        <w:top w:val="none" w:sz="0" w:space="0" w:color="auto"/>
        <w:left w:val="none" w:sz="0" w:space="0" w:color="auto"/>
        <w:bottom w:val="none" w:sz="0" w:space="0" w:color="auto"/>
        <w:right w:val="none" w:sz="0" w:space="0" w:color="auto"/>
      </w:divBdr>
    </w:div>
    <w:div w:id="20882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verley.gov.uk/Portals/0/Documents/services/benefits-and-support/Bramley/EA%20Update%20for%2029-11-2024_27112024_jt.pdf?ver=giohrm1MK4lX-qXQZq11qA%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verley.gov.uk/Services/Benefits-and-community-support/Bramley-petrol-contamination-Information-and-ad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Waverley Corporate Theme 2023 NC">
  <a:themeElements>
    <a:clrScheme name="Nora Corporate Pallette">
      <a:dk1>
        <a:srgbClr val="004B9C"/>
      </a:dk1>
      <a:lt1>
        <a:sysClr val="window" lastClr="FFFFFF"/>
      </a:lt1>
      <a:dk2>
        <a:srgbClr val="5A595B"/>
      </a:dk2>
      <a:lt2>
        <a:srgbClr val="DADADA"/>
      </a:lt2>
      <a:accent1>
        <a:srgbClr val="6AC2C1"/>
      </a:accent1>
      <a:accent2>
        <a:srgbClr val="2A95AC"/>
      </a:accent2>
      <a:accent3>
        <a:srgbClr val="CD6299"/>
      </a:accent3>
      <a:accent4>
        <a:srgbClr val="F1D04D"/>
      </a:accent4>
      <a:accent5>
        <a:srgbClr val="3FA535"/>
      </a:accent5>
      <a:accent6>
        <a:srgbClr val="9CC182"/>
      </a:accent6>
      <a:hlink>
        <a:srgbClr val="0000FF"/>
      </a:hlink>
      <a:folHlink>
        <a:srgbClr val="3F0040"/>
      </a:folHlink>
    </a:clrScheme>
    <a:fontScheme name="Nora Corporate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F366A2FB88E543A131EB5A73826B6D" ma:contentTypeVersion="13" ma:contentTypeDescription="Create a new document." ma:contentTypeScope="" ma:versionID="4e1649c79230d69e9c7d0f8adcb5b671">
  <xsd:schema xmlns:xsd="http://www.w3.org/2001/XMLSchema" xmlns:xs="http://www.w3.org/2001/XMLSchema" xmlns:p="http://schemas.microsoft.com/office/2006/metadata/properties" xmlns:ns3="fbb93d14-f755-49d9-a05d-9684bd6b16d8" xmlns:ns4="b0dfcbc4-982b-44b1-a3bd-c5d56f08ee24" targetNamespace="http://schemas.microsoft.com/office/2006/metadata/properties" ma:root="true" ma:fieldsID="472b1d641092dfab4c7c64dcaa0a8112" ns3:_="" ns4:_="">
    <xsd:import namespace="fbb93d14-f755-49d9-a05d-9684bd6b16d8"/>
    <xsd:import namespace="b0dfcbc4-982b-44b1-a3bd-c5d56f08ee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93d14-f755-49d9-a05d-9684bd6b1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fcbc4-982b-44b1-a3bd-c5d56f08ee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0dfcbc4-982b-44b1-a3bd-c5d56f08ee24">
      <UserInfo>
        <DisplayName>Nicola Haymes</DisplayName>
        <AccountId>486</AccountId>
        <AccountType/>
      </UserInfo>
      <UserInfo>
        <DisplayName>Yasmine Makin</DisplayName>
        <AccountId>572</AccountId>
        <AccountType/>
      </UserInfo>
      <UserInfo>
        <DisplayName>Henry Ascoli</DisplayName>
        <AccountId>211</AccountId>
        <AccountType/>
      </UserInfo>
      <UserInfo>
        <DisplayName>Ian Mackie</DisplayName>
        <AccountId>257</AccountId>
        <AccountType/>
      </UserInfo>
      <UserInfo>
        <DisplayName>Louise Norie</DisplayName>
        <AccountId>302</AccountId>
        <AccountType/>
      </UserInfo>
      <UserInfo>
        <DisplayName>Matt Gates</DisplayName>
        <AccountId>192</AccountId>
        <AccountType/>
      </UserInfo>
      <UserInfo>
        <DisplayName>Abs Hussain</DisplayName>
        <AccountId>297</AccountId>
        <AccountType/>
      </UserInfo>
      <UserInfo>
        <DisplayName>Faye Pringle</DisplayName>
        <AccountId>97</AccountId>
        <AccountType/>
      </UserInfo>
      <UserInfo>
        <DisplayName>Amy Hardie</DisplayName>
        <AccountId>171</AccountId>
        <AccountType/>
      </UserInfo>
      <UserInfo>
        <DisplayName>Jenny Sturgess</DisplayName>
        <AccountId>308</AccountId>
        <AccountType/>
      </UserInfo>
      <UserInfo>
        <DisplayName>Debbie Smith</DisplayName>
        <AccountId>301</AccountId>
        <AccountType/>
      </UserInfo>
      <UserInfo>
        <DisplayName>Ben Bix</DisplayName>
        <AccountId>626</AccountId>
        <AccountType/>
      </UserInfo>
      <UserInfo>
        <DisplayName>Alice Lean</DisplayName>
        <AccountId>177</AccountId>
        <AccountType/>
      </UserInfo>
    </SharedWithUsers>
    <_activity xmlns="fbb93d14-f755-49d9-a05d-9684bd6b16d8" xsi:nil="true"/>
  </documentManagement>
</p:properties>
</file>

<file path=customXml/itemProps1.xml><?xml version="1.0" encoding="utf-8"?>
<ds:datastoreItem xmlns:ds="http://schemas.openxmlformats.org/officeDocument/2006/customXml" ds:itemID="{7712AC98-B546-43B2-A743-0B6115E9008D}">
  <ds:schemaRefs>
    <ds:schemaRef ds:uri="http://schemas.microsoft.com/sharepoint/v3/contenttype/forms"/>
  </ds:schemaRefs>
</ds:datastoreItem>
</file>

<file path=customXml/itemProps2.xml><?xml version="1.0" encoding="utf-8"?>
<ds:datastoreItem xmlns:ds="http://schemas.openxmlformats.org/officeDocument/2006/customXml" ds:itemID="{33777A00-7C5E-45C7-8986-763FC2209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93d14-f755-49d9-a05d-9684bd6b16d8"/>
    <ds:schemaRef ds:uri="b0dfcbc4-982b-44b1-a3bd-c5d56f08e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B0C52-C68B-457F-95CC-39DB95A99583}">
  <ds:schemaRefs>
    <ds:schemaRef ds:uri="http://schemas.openxmlformats.org/officeDocument/2006/bibliography"/>
  </ds:schemaRefs>
</ds:datastoreItem>
</file>

<file path=customXml/itemProps4.xml><?xml version="1.0" encoding="utf-8"?>
<ds:datastoreItem xmlns:ds="http://schemas.openxmlformats.org/officeDocument/2006/customXml" ds:itemID="{A295A2F0-9883-411F-8002-309D7C7D8DB4}">
  <ds:schemaRefs>
    <ds:schemaRef ds:uri="http://schemas.microsoft.com/office/2006/metadata/properties"/>
    <ds:schemaRef ds:uri="http://schemas.microsoft.com/office/infopath/2007/PartnerControls"/>
    <ds:schemaRef ds:uri="b0dfcbc4-982b-44b1-a3bd-c5d56f08ee24"/>
    <ds:schemaRef ds:uri="fbb93d14-f755-49d9-a05d-9684bd6b16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Guy</dc:creator>
  <cp:keywords/>
  <dc:description/>
  <cp:lastModifiedBy>Jennifer Sutton</cp:lastModifiedBy>
  <cp:revision>2</cp:revision>
  <dcterms:created xsi:type="dcterms:W3CDTF">2024-12-19T10:52:00Z</dcterms:created>
  <dcterms:modified xsi:type="dcterms:W3CDTF">2024-12-19T10:52:00Z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2024-12-17T04:36:47Z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32b83b2c-d558-4684-9786-d38ebad489c1</vt:lpwstr>
  </property>
  <property fmtid="{D5CDD505-2E9C-101B-9397-08002B2CF9AE}" pid="8" name="MSIP_Label_55818d02-8d25-4bb9-b27c-e4db64670887_ContentBits">
    <vt:lpwstr>0</vt:lpwstr>
  </property>
  <property fmtid="{D5CDD505-2E9C-101B-9397-08002B2CF9AE}" pid="9" name="ClassificationContentMarkingHeaderShapeIds">
    <vt:lpwstr>617b1462,6d7793f6,2d13c21b</vt:lpwstr>
  </property>
  <property fmtid="{D5CDD505-2E9C-101B-9397-08002B2CF9AE}" pid="10" name="ClassificationContentMarkingHeaderFontProps">
    <vt:lpwstr>#000000,10,Calibri</vt:lpwstr>
  </property>
  <property fmtid="{D5CDD505-2E9C-101B-9397-08002B2CF9AE}" pid="11" name="ClassificationContentMarkingHeaderText">
    <vt:lpwstr>Classified as Internal</vt:lpwstr>
  </property>
  <property fmtid="{D5CDD505-2E9C-101B-9397-08002B2CF9AE}" pid="12" name="MSIP_Label_2b73dd0b-afe1-4a46-943f-1bdb914b8a49_Enabled">
    <vt:lpwstr>true</vt:lpwstr>
  </property>
  <property fmtid="{D5CDD505-2E9C-101B-9397-08002B2CF9AE}" pid="13" name="MSIP_Label_2b73dd0b-afe1-4a46-943f-1bdb914b8a49_SetDate">
    <vt:lpwstr>2024-12-18T10:57:17Z</vt:lpwstr>
  </property>
  <property fmtid="{D5CDD505-2E9C-101B-9397-08002B2CF9AE}" pid="14" name="MSIP_Label_2b73dd0b-afe1-4a46-943f-1bdb914b8a49_Method">
    <vt:lpwstr>Standard</vt:lpwstr>
  </property>
  <property fmtid="{D5CDD505-2E9C-101B-9397-08002B2CF9AE}" pid="15" name="MSIP_Label_2b73dd0b-afe1-4a46-943f-1bdb914b8a49_Name">
    <vt:lpwstr>Internal</vt:lpwstr>
  </property>
  <property fmtid="{D5CDD505-2E9C-101B-9397-08002B2CF9AE}" pid="16" name="MSIP_Label_2b73dd0b-afe1-4a46-943f-1bdb914b8a49_SiteId">
    <vt:lpwstr>b9563cbc-9874-41ab-b448-7e0f61aff3eb</vt:lpwstr>
  </property>
  <property fmtid="{D5CDD505-2E9C-101B-9397-08002B2CF9AE}" pid="17" name="MSIP_Label_2b73dd0b-afe1-4a46-943f-1bdb914b8a49_ActionId">
    <vt:lpwstr>2d734495-447c-44ea-b000-446e0c5c0ff2</vt:lpwstr>
  </property>
  <property fmtid="{D5CDD505-2E9C-101B-9397-08002B2CF9AE}" pid="18" name="MSIP_Label_2b73dd0b-afe1-4a46-943f-1bdb914b8a49_ContentBits">
    <vt:lpwstr>1</vt:lpwstr>
  </property>
</Properties>
</file>